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55852" w14:textId="2615952E" w:rsidR="003F3DD4" w:rsidRDefault="007814AE" w:rsidP="007814AE">
      <w:pPr>
        <w:jc w:val="center"/>
      </w:pPr>
      <w:r w:rsidRPr="00184033">
        <w:rPr>
          <w:b/>
        </w:rPr>
        <w:t>“(IN</w:t>
      </w:r>
      <w:proofErr w:type="gramStart"/>
      <w:r w:rsidRPr="00184033">
        <w:rPr>
          <w:b/>
        </w:rPr>
        <w:t>)FORMALIDADE</w:t>
      </w:r>
      <w:proofErr w:type="gramEnd"/>
      <w:r w:rsidRPr="00184033">
        <w:rPr>
          <w:b/>
        </w:rPr>
        <w:t>” DO TRABALHO:</w:t>
      </w:r>
      <w:r>
        <w:t xml:space="preserve"> </w:t>
      </w:r>
      <w:r w:rsidR="005B3209">
        <w:rPr>
          <w:bCs/>
          <w:color w:val="000000"/>
        </w:rPr>
        <w:t xml:space="preserve">uma interpretação dialética do trabalho </w:t>
      </w:r>
      <w:r w:rsidR="005B3209">
        <w:t>no Brasil e no Pará</w:t>
      </w:r>
    </w:p>
    <w:p w14:paraId="37BA1A48" w14:textId="77777777" w:rsidR="002258CA" w:rsidRDefault="002258CA" w:rsidP="002258CA">
      <w:pPr>
        <w:jc w:val="right"/>
      </w:pPr>
    </w:p>
    <w:p w14:paraId="798F037C" w14:textId="77777777" w:rsidR="002258CA" w:rsidRDefault="002258CA" w:rsidP="002258CA">
      <w:pPr>
        <w:jc w:val="right"/>
      </w:pPr>
      <w:proofErr w:type="spellStart"/>
      <w:r>
        <w:t>Cleidianne</w:t>
      </w:r>
      <w:proofErr w:type="spellEnd"/>
      <w:r>
        <w:t xml:space="preserve"> Novais Sousa</w:t>
      </w:r>
      <w:r>
        <w:rPr>
          <w:rStyle w:val="Refdenotaderodap"/>
        </w:rPr>
        <w:footnoteReference w:id="1"/>
      </w:r>
    </w:p>
    <w:p w14:paraId="7E85A940" w14:textId="77777777" w:rsidR="007F23E9" w:rsidRDefault="007F23E9" w:rsidP="002258CA">
      <w:pPr>
        <w:ind w:firstLine="709"/>
        <w:jc w:val="right"/>
      </w:pPr>
      <w:r>
        <w:t>Luciana Cristina Romeu Sousa</w:t>
      </w:r>
      <w:r>
        <w:rPr>
          <w:rStyle w:val="Refdenotaderodap"/>
        </w:rPr>
        <w:footnoteReference w:id="2"/>
      </w:r>
      <w:r>
        <w:t xml:space="preserve"> </w:t>
      </w:r>
    </w:p>
    <w:p w14:paraId="68BAEA2B" w14:textId="77777777" w:rsidR="007F23E9" w:rsidRDefault="007F23E9" w:rsidP="002258CA">
      <w:pPr>
        <w:ind w:firstLine="709"/>
        <w:jc w:val="right"/>
      </w:pPr>
      <w:r>
        <w:t xml:space="preserve">Mariza Felipe </w:t>
      </w:r>
      <w:proofErr w:type="spellStart"/>
      <w:r>
        <w:t>Mathis</w:t>
      </w:r>
      <w:proofErr w:type="spellEnd"/>
      <w:r>
        <w:rPr>
          <w:rStyle w:val="Refdenotaderodap"/>
        </w:rPr>
        <w:footnoteReference w:id="3"/>
      </w:r>
      <w:r>
        <w:t xml:space="preserve"> </w:t>
      </w:r>
    </w:p>
    <w:p w14:paraId="65B65F71" w14:textId="77777777" w:rsidR="003F3DD4" w:rsidRDefault="003F3DD4" w:rsidP="007814AE">
      <w:pPr>
        <w:jc w:val="both"/>
      </w:pPr>
    </w:p>
    <w:p w14:paraId="20785A81" w14:textId="77777777" w:rsidR="003F3DD4" w:rsidRDefault="003F3DD4" w:rsidP="007814AE">
      <w:pPr>
        <w:jc w:val="both"/>
        <w:rPr>
          <w:b/>
        </w:rPr>
      </w:pPr>
    </w:p>
    <w:p w14:paraId="4434C248" w14:textId="77777777" w:rsidR="003F3DD4" w:rsidRPr="00BB37E5" w:rsidRDefault="003F3DD4" w:rsidP="0065238F">
      <w:pPr>
        <w:jc w:val="both"/>
        <w:rPr>
          <w:b/>
        </w:rPr>
      </w:pPr>
      <w:r w:rsidRPr="00BB37E5">
        <w:rPr>
          <w:b/>
        </w:rPr>
        <w:t>RESUMO</w:t>
      </w:r>
    </w:p>
    <w:p w14:paraId="370E1F92" w14:textId="77777777" w:rsidR="003F3DD4" w:rsidRDefault="003F3DD4" w:rsidP="0065238F">
      <w:pPr>
        <w:jc w:val="both"/>
      </w:pPr>
    </w:p>
    <w:p w14:paraId="33DDEE98" w14:textId="75E6E90A" w:rsidR="003F3DD4" w:rsidRDefault="003F3DD4" w:rsidP="0065238F">
      <w:pPr>
        <w:jc w:val="both"/>
      </w:pPr>
      <w:r>
        <w:t>O objetivo deste trabalho é analisar o comportamento da “formalidade” e da “informalidade” nos mercados de trabalho no Brasil e no Pará nos últimos</w:t>
      </w:r>
      <w:r w:rsidR="00B2324A">
        <w:t xml:space="preserve"> anos</w:t>
      </w:r>
      <w:r>
        <w:t xml:space="preserve">, a fim de discutir qual o papel do trabalho “informal” na economia capitalista. Para tanto, realizamos a análise da população </w:t>
      </w:r>
      <w:r w:rsidR="00B2324A">
        <w:t>ocupada nesses territórios</w:t>
      </w:r>
      <w:r>
        <w:t xml:space="preserve"> a partir da Pesquisa Nacional por Amostra de Domicílios (PNAD) do IBGE, entre os anos de 2001 e 2014, assim como elaboramos uma discussão teórica sobre os fundamentos do trabalho “informal” na acumulação de capital e a relação dialética que se estabelece entre trabalho “formal” e trabalho “informal”. Para desenvolver esta discussão, organizamos o trabalho da seguinte </w:t>
      </w:r>
      <w:r w:rsidR="00B2324A">
        <w:t>forma</w:t>
      </w:r>
      <w:r>
        <w:t>: na primeira seção, discutiremos o trabalho enquanto unidade dialética entre “formal” e “informal”; na segunda seção, discutiremos a funcionalidade do trabalho “informal” à acumulação de capital; e, por fim, na terceira, faremos uma caracterização da “formalidade” e da “informalidade” do trabalho no Brasil e no Pará.</w:t>
      </w:r>
    </w:p>
    <w:p w14:paraId="64170CCA" w14:textId="77777777" w:rsidR="003F3DD4" w:rsidRDefault="003F3DD4" w:rsidP="0065238F">
      <w:pPr>
        <w:jc w:val="both"/>
      </w:pPr>
    </w:p>
    <w:p w14:paraId="63529DD6" w14:textId="77777777" w:rsidR="003F3DD4" w:rsidRDefault="003F3DD4" w:rsidP="0065238F">
      <w:pPr>
        <w:jc w:val="both"/>
      </w:pPr>
      <w:r w:rsidRPr="00BB37E5">
        <w:rPr>
          <w:b/>
        </w:rPr>
        <w:t>PALAVRAS-CHAVE:</w:t>
      </w:r>
      <w:r>
        <w:t xml:space="preserve"> “Formalidade”; “Informalidade”; Economia Capitalista; Dialética</w:t>
      </w:r>
      <w:r w:rsidR="00481817">
        <w:t>.</w:t>
      </w:r>
    </w:p>
    <w:p w14:paraId="737E0FA1" w14:textId="77777777" w:rsidR="003F3DD4" w:rsidRDefault="003F3DD4"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p>
    <w:p w14:paraId="3E1FDE99" w14:textId="6EF548B4" w:rsidR="00D34DA2" w:rsidRDefault="00D34DA2"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lang w:val="en-US"/>
        </w:rPr>
      </w:pPr>
      <w:r>
        <w:rPr>
          <w:b/>
          <w:lang w:val="en-US"/>
        </w:rPr>
        <w:t>ABSTRACT</w:t>
      </w:r>
    </w:p>
    <w:p w14:paraId="73C9C454" w14:textId="77777777" w:rsidR="0065238F" w:rsidRPr="00D34DA2" w:rsidRDefault="0065238F"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lang w:val="en-US"/>
        </w:rPr>
      </w:pPr>
    </w:p>
    <w:p w14:paraId="3729F30E" w14:textId="77777777" w:rsidR="00D34DA2" w:rsidRPr="00D34DA2" w:rsidRDefault="00D34DA2"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r w:rsidRPr="00D34DA2">
        <w:rPr>
          <w:lang w:val="en-US"/>
        </w:rPr>
        <w:t xml:space="preserve">The objective of this study is to analyze the behavior of the "formal" and "informal" labor markets in Brazil and </w:t>
      </w:r>
      <w:proofErr w:type="spellStart"/>
      <w:r w:rsidRPr="00D34DA2">
        <w:rPr>
          <w:lang w:val="en-US"/>
        </w:rPr>
        <w:t>Pará</w:t>
      </w:r>
      <w:proofErr w:type="spellEnd"/>
      <w:r w:rsidRPr="00D34DA2">
        <w:rPr>
          <w:lang w:val="en-US"/>
        </w:rPr>
        <w:t xml:space="preserve"> in recent years in order to discuss the role of work "informal" in the capitalist economy. Thus, we performed the analysis of the employed population in these territories from the </w:t>
      </w:r>
      <w:proofErr w:type="spellStart"/>
      <w:r w:rsidRPr="00D34DA2">
        <w:rPr>
          <w:lang w:val="en-US"/>
        </w:rPr>
        <w:t>Pesquisa</w:t>
      </w:r>
      <w:proofErr w:type="spellEnd"/>
      <w:r w:rsidRPr="00D34DA2">
        <w:rPr>
          <w:lang w:val="en-US"/>
        </w:rPr>
        <w:t xml:space="preserve"> Nacional </w:t>
      </w:r>
      <w:proofErr w:type="spellStart"/>
      <w:r w:rsidRPr="00D34DA2">
        <w:rPr>
          <w:lang w:val="en-US"/>
        </w:rPr>
        <w:t>por</w:t>
      </w:r>
      <w:proofErr w:type="spellEnd"/>
      <w:r w:rsidRPr="00D34DA2">
        <w:rPr>
          <w:lang w:val="en-US"/>
        </w:rPr>
        <w:t xml:space="preserve"> </w:t>
      </w:r>
      <w:proofErr w:type="spellStart"/>
      <w:r w:rsidRPr="00D34DA2">
        <w:rPr>
          <w:lang w:val="en-US"/>
        </w:rPr>
        <w:t>Amostra</w:t>
      </w:r>
      <w:proofErr w:type="spellEnd"/>
      <w:r w:rsidRPr="00D34DA2">
        <w:rPr>
          <w:lang w:val="en-US"/>
        </w:rPr>
        <w:t xml:space="preserve"> de </w:t>
      </w:r>
      <w:proofErr w:type="spellStart"/>
      <w:r w:rsidRPr="00D34DA2">
        <w:rPr>
          <w:lang w:val="en-US"/>
        </w:rPr>
        <w:t>Domicílios</w:t>
      </w:r>
      <w:proofErr w:type="spellEnd"/>
      <w:r w:rsidRPr="00D34DA2">
        <w:rPr>
          <w:lang w:val="en-US"/>
        </w:rPr>
        <w:t xml:space="preserve"> (PNAD) of IBGE, between the years 2001 and 2014, as well as present a theoretical discussion on the fundamentals of work "informal" in the accumulation capital and the dialectical relationship that is established between "formal" and "informal" work. To develop this discussion, organize the work as follows: in the first section, we discuss the work while dialectical unity between "formal" and "informal"; in the second section, we will discuss the work feature "informal" capital accumulation; and finally, in the third, we will characterize the "formal" and "informal" labor in Brazil and </w:t>
      </w:r>
      <w:proofErr w:type="spellStart"/>
      <w:r w:rsidRPr="00D34DA2">
        <w:rPr>
          <w:lang w:val="en-US"/>
        </w:rPr>
        <w:t>Pará</w:t>
      </w:r>
      <w:proofErr w:type="spellEnd"/>
      <w:r w:rsidRPr="00D34DA2">
        <w:rPr>
          <w:lang w:val="en-US"/>
        </w:rPr>
        <w:t>.</w:t>
      </w:r>
    </w:p>
    <w:p w14:paraId="5F5E1EE0" w14:textId="77777777" w:rsidR="00D34DA2" w:rsidRPr="00D34DA2" w:rsidRDefault="00D34DA2"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lang w:val="en-US"/>
        </w:rPr>
      </w:pPr>
    </w:p>
    <w:p w14:paraId="38D35975" w14:textId="1C24A939" w:rsidR="00D34DA2" w:rsidRDefault="00D34DA2"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r w:rsidRPr="00D34DA2">
        <w:rPr>
          <w:b/>
          <w:lang w:val="en-US"/>
        </w:rPr>
        <w:t>KEYWORDS:</w:t>
      </w:r>
      <w:r w:rsidRPr="00D34DA2">
        <w:rPr>
          <w:lang w:val="en-US"/>
        </w:rPr>
        <w:t xml:space="preserve"> "Formali</w:t>
      </w:r>
      <w:r w:rsidR="008A784E">
        <w:rPr>
          <w:lang w:val="en-US"/>
        </w:rPr>
        <w:t>ty"; "Informality"; Capitalist E</w:t>
      </w:r>
      <w:r w:rsidRPr="00D34DA2">
        <w:rPr>
          <w:lang w:val="en-US"/>
        </w:rPr>
        <w:t>conomy; Dialectic.</w:t>
      </w:r>
    </w:p>
    <w:p w14:paraId="10C9DDA3" w14:textId="77777777" w:rsidR="000A0A41" w:rsidRPr="00D34DA2" w:rsidRDefault="000A0A41"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lang w:val="en-US"/>
        </w:rPr>
      </w:pPr>
    </w:p>
    <w:p w14:paraId="1F1BAE6E" w14:textId="77777777" w:rsidR="00D34DA2" w:rsidRPr="00D34DA2" w:rsidRDefault="00D34DA2" w:rsidP="00652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lang w:val="en-US"/>
        </w:rPr>
      </w:pPr>
    </w:p>
    <w:p w14:paraId="462A7B1D" w14:textId="53969942" w:rsidR="007814AE" w:rsidRPr="006121F5" w:rsidRDefault="007814AE" w:rsidP="00FD6190">
      <w:pPr>
        <w:pStyle w:val="PargrafodaLista"/>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284" w:hanging="284"/>
        <w:jc w:val="both"/>
        <w:rPr>
          <w:b/>
          <w:sz w:val="24"/>
          <w:szCs w:val="24"/>
        </w:rPr>
      </w:pPr>
      <w:r w:rsidRPr="006121F5">
        <w:rPr>
          <w:b/>
          <w:sz w:val="24"/>
          <w:szCs w:val="24"/>
        </w:rPr>
        <w:lastRenderedPageBreak/>
        <w:t>INTRODUÇÃO</w:t>
      </w:r>
    </w:p>
    <w:p w14:paraId="147B4E4C" w14:textId="77777777" w:rsidR="00BC4663" w:rsidRPr="00BC4663" w:rsidRDefault="00BC4663" w:rsidP="00FD6190">
      <w:pPr>
        <w:spacing w:line="360" w:lineRule="auto"/>
        <w:ind w:firstLine="709"/>
        <w:jc w:val="both"/>
        <w:rPr>
          <w:color w:val="auto"/>
        </w:rPr>
      </w:pPr>
      <w:r w:rsidRPr="00BC4663">
        <w:rPr>
          <w:color w:val="auto"/>
        </w:rPr>
        <w:t>A década de 2000 e a primeira metade da década 2010 foram marcadas por um importante movimento de formalização no mercado de trabalho brasileiro, em razão de um ciclo de prosperidade econômica reforçado por avanços nas políticas públicas de trabalho, emprego e renda e na promoção do trabalho decente e da valorização do salário mínimo. Contudo, esse processo de formalização do trabalho não foi suficiente para reverter um elemento estrutural da sociedade brasileira e amazônica, isto é, o elevado peso de ocupações informais em seus mercados de trabalho, elemento que está enraizado na forte desigualdade de renda inerente a estas sociedades. Nesse sentido, impõe-se a importância de dar conta de alguns aspectos relacionados a essa dinâmica de formalização do trabalho tanto no Brasil quanto no Pará.</w:t>
      </w:r>
    </w:p>
    <w:p w14:paraId="59778356" w14:textId="77777777" w:rsidR="00BC4663" w:rsidRPr="00BC4663" w:rsidRDefault="00BC4663" w:rsidP="00FD6190">
      <w:pPr>
        <w:spacing w:line="360" w:lineRule="auto"/>
        <w:ind w:firstLine="709"/>
        <w:jc w:val="both"/>
        <w:rPr>
          <w:color w:val="auto"/>
        </w:rPr>
      </w:pPr>
      <w:r w:rsidRPr="00BC4663">
        <w:rPr>
          <w:color w:val="auto"/>
        </w:rPr>
        <w:t>Em vista dessa necessidade, o presente artigo tem por finalidade apresentar dados de “formalidade” e “informalidade” no Brasil e no estado do Pará para um período descontínuo entre 2001 e 2014, se valendo em algum momento, inclusive, da análise de dados para a década de 1990. Os dados a serem analisados neste trabalho foram extraídos da Pesquisa Nacional de Amostra por Domicílios do Instituto Brasileiro de Geografia e Estatística (PNAD/IBGE), na tentativa de observamos os movimentos de “formalidade” e de “informalidade” do trabalho no Brasil e no estado do Pará através da leitura dos indicadores de taxa de informalidade e de assalariamento formal e informal, adotando cruzamento com características dos trabalhadores ocupados (sexo, setor de atividade econômica e jornada de trabalho).</w:t>
      </w:r>
    </w:p>
    <w:p w14:paraId="58F67041" w14:textId="51026EB4" w:rsidR="00BC4663" w:rsidRPr="00BC4663" w:rsidRDefault="00BC4663" w:rsidP="00FD6190">
      <w:pPr>
        <w:spacing w:line="360" w:lineRule="auto"/>
        <w:ind w:firstLine="709"/>
        <w:jc w:val="both"/>
        <w:rPr>
          <w:color w:val="auto"/>
        </w:rPr>
      </w:pPr>
      <w:r w:rsidRPr="00BC4663">
        <w:rPr>
          <w:color w:val="auto"/>
        </w:rPr>
        <w:t xml:space="preserve">Para ajudar a leitura do papel da informalidade na estrutura do mercado de trabalho no Brasil e no Pará, </w:t>
      </w:r>
      <w:r w:rsidR="00DA0F02">
        <w:rPr>
          <w:color w:val="auto"/>
        </w:rPr>
        <w:t>entendidas enquanto estrutura capitalista</w:t>
      </w:r>
      <w:proofErr w:type="gramStart"/>
      <w:r w:rsidR="006A5CE8">
        <w:rPr>
          <w:color w:val="auto"/>
        </w:rPr>
        <w:t xml:space="preserve">, </w:t>
      </w:r>
      <w:r w:rsidRPr="00BC4663">
        <w:rPr>
          <w:color w:val="auto"/>
        </w:rPr>
        <w:t>organizamos</w:t>
      </w:r>
      <w:proofErr w:type="gramEnd"/>
      <w:r w:rsidRPr="00BC4663">
        <w:rPr>
          <w:color w:val="auto"/>
        </w:rPr>
        <w:t xml:space="preserve"> este trabalho </w:t>
      </w:r>
      <w:r w:rsidR="00B40C8E">
        <w:rPr>
          <w:color w:val="auto"/>
        </w:rPr>
        <w:t>da seguinte forma</w:t>
      </w:r>
      <w:r w:rsidRPr="00BC4663">
        <w:rPr>
          <w:color w:val="auto"/>
        </w:rPr>
        <w:t>. Além desta introdução, n</w:t>
      </w:r>
      <w:r w:rsidR="004D4D56">
        <w:rPr>
          <w:color w:val="auto"/>
        </w:rPr>
        <w:t>a segunda</w:t>
      </w:r>
      <w:r w:rsidRPr="00BC4663">
        <w:rPr>
          <w:color w:val="auto"/>
        </w:rPr>
        <w:t xml:space="preserve"> seção </w:t>
      </w:r>
      <w:r w:rsidRPr="00BC4663">
        <w:rPr>
          <w:rFonts w:eastAsia="Calibri"/>
          <w:color w:val="auto"/>
          <w:lang w:eastAsia="pt-BR"/>
        </w:rPr>
        <w:t xml:space="preserve">discutiremos a existência de uma relação dialética entre trabalho “formal” e “informal”, </w:t>
      </w:r>
      <w:r w:rsidRPr="00BC4663">
        <w:rPr>
          <w:color w:val="auto"/>
        </w:rPr>
        <w:t xml:space="preserve">cujo intuito é mostrar que as relações de trabalho “formal” e “informal” não se reduzem a duas categorias excludentes, mas, pelo contrário, interpenetram-se, uma vez que o trabalho se revela como uma unidade contraditória entre a “formalidade” e a “informalidade”. </w:t>
      </w:r>
    </w:p>
    <w:p w14:paraId="013D4AAE" w14:textId="4AD8D505" w:rsidR="00BC4663" w:rsidRPr="00BC4663" w:rsidRDefault="00BC4663" w:rsidP="00FD6190">
      <w:pPr>
        <w:spacing w:line="360" w:lineRule="auto"/>
        <w:ind w:firstLine="709"/>
        <w:jc w:val="both"/>
        <w:rPr>
          <w:color w:val="auto"/>
        </w:rPr>
      </w:pPr>
      <w:r w:rsidRPr="00BC4663">
        <w:rPr>
          <w:color w:val="auto"/>
        </w:rPr>
        <w:t>Na</w:t>
      </w:r>
      <w:r w:rsidR="004D4D56">
        <w:rPr>
          <w:color w:val="auto"/>
        </w:rPr>
        <w:t xml:space="preserve"> terceira</w:t>
      </w:r>
      <w:r w:rsidRPr="00BC4663">
        <w:rPr>
          <w:color w:val="auto"/>
        </w:rPr>
        <w:t xml:space="preserve"> seção, por sua vez, </w:t>
      </w:r>
      <w:r w:rsidRPr="00BC4663">
        <w:rPr>
          <w:rFonts w:eastAsia="Calibri"/>
          <w:color w:val="auto"/>
        </w:rPr>
        <w:t>abordaremos os fundamentos do trabalho “informal” a partir de uma breve discussão sobre a lógica da acumulação capitalista e a baixa tendencial da taxa de lucro</w:t>
      </w:r>
      <w:r w:rsidRPr="00BC4663">
        <w:rPr>
          <w:color w:val="auto"/>
        </w:rPr>
        <w:t xml:space="preserve">, considerando que os trabalhadores “informais” integram a superpopulação relativa e que a “informalidade” se manifesta como uma </w:t>
      </w:r>
      <w:proofErr w:type="spellStart"/>
      <w:r w:rsidRPr="00BC4663">
        <w:rPr>
          <w:color w:val="auto"/>
        </w:rPr>
        <w:t>contratendência</w:t>
      </w:r>
      <w:proofErr w:type="spellEnd"/>
      <w:r w:rsidRPr="00BC4663">
        <w:rPr>
          <w:color w:val="auto"/>
        </w:rPr>
        <w:t xml:space="preserve"> à queda da taxa de lucro. Na</w:t>
      </w:r>
      <w:r w:rsidR="004D4D56">
        <w:rPr>
          <w:color w:val="auto"/>
        </w:rPr>
        <w:t xml:space="preserve"> quart</w:t>
      </w:r>
      <w:r w:rsidRPr="00BC4663">
        <w:rPr>
          <w:color w:val="auto"/>
        </w:rPr>
        <w:t xml:space="preserve">a seção, faremos a análise dos </w:t>
      </w:r>
      <w:r w:rsidRPr="00BC4663">
        <w:rPr>
          <w:color w:val="auto"/>
        </w:rPr>
        <w:lastRenderedPageBreak/>
        <w:t>indicadores de trabalho formal e informal e assalariamento</w:t>
      </w:r>
      <w:r w:rsidR="004D4D56">
        <w:rPr>
          <w:color w:val="auto"/>
        </w:rPr>
        <w:t>. E, na quin</w:t>
      </w:r>
      <w:r w:rsidRPr="00BC4663">
        <w:rPr>
          <w:color w:val="auto"/>
        </w:rPr>
        <w:t>ta e última seção, apresentaremos os resultados e as considerações finais deste trabalho.</w:t>
      </w:r>
    </w:p>
    <w:p w14:paraId="3A176A10" w14:textId="77777777" w:rsidR="00193DDD" w:rsidRPr="00BC4663" w:rsidRDefault="00193DDD" w:rsidP="00FD6190">
      <w:pPr>
        <w:spacing w:line="360" w:lineRule="auto"/>
        <w:ind w:firstLine="709"/>
        <w:jc w:val="both"/>
        <w:rPr>
          <w:color w:val="auto"/>
        </w:rPr>
      </w:pPr>
    </w:p>
    <w:p w14:paraId="33C70D71" w14:textId="3F12987C" w:rsidR="007814AE" w:rsidRPr="006121F5" w:rsidRDefault="007814AE" w:rsidP="00FD6190">
      <w:pPr>
        <w:pStyle w:val="PargrafodaLista"/>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0" w:firstLine="0"/>
        <w:jc w:val="both"/>
        <w:rPr>
          <w:b/>
          <w:sz w:val="24"/>
          <w:szCs w:val="24"/>
        </w:rPr>
      </w:pPr>
      <w:r w:rsidRPr="006121F5">
        <w:rPr>
          <w:b/>
          <w:sz w:val="24"/>
          <w:szCs w:val="24"/>
        </w:rPr>
        <w:t>A UNIDADE DIALÉTICA ENTRE O “FORMAL” E O “INFORMAL” E A NOVA “INFORMALIDADE”</w:t>
      </w:r>
    </w:p>
    <w:p w14:paraId="765B785F" w14:textId="77777777" w:rsidR="007814AE" w:rsidRPr="00543DA9" w:rsidRDefault="007814AE" w:rsidP="00FD6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pPr>
      <w:r>
        <w:t>Nos anos</w:t>
      </w:r>
      <w:r w:rsidRPr="00543DA9">
        <w:t xml:space="preserve"> 1970, alguns autores de inspiração marxista passaram a se debruçar sobre a questão das formas heterogêneas de inserção da força de trabalho na produção de mercadorias em países periféricos. Para estes autores, o volume de excedente de força de trabalho que passa a ser gerado nesse período é fruto da relação centro-periferia. Desse modo, embora a tecnologia tenha exercido um importante papel na formação de uma grande massa de desempregados e na segmentação do mercado de trabalho nos</w:t>
      </w:r>
      <w:r>
        <w:t xml:space="preserve"> países periféricos, esse</w:t>
      </w:r>
      <w:r w:rsidRPr="00543DA9">
        <w:t>s autores apontam que a transferência de renda, via comércio internacional, da periferia para o centro foi decisiva para a heterogeneidade do mercado de trabalho nesses países. Para eles, tal heterogeneidade é uma manifestação de que o desenvolvimento do capitalismo acaba levando ao paradoxo do enraizamento de formas de produção novas no “arcaico” e de relações anacrônicas no “moderno” (SOARES, 2008).</w:t>
      </w:r>
    </w:p>
    <w:p w14:paraId="2E25C9ED" w14:textId="77777777" w:rsidR="007814AE" w:rsidRPr="00543DA9" w:rsidRDefault="007814AE" w:rsidP="00FD6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pPr>
      <w:r w:rsidRPr="00543DA9">
        <w:t xml:space="preserve">Na perspectiva da Comissão Econômica para a América Latina (Cepal), o subdesenvolvimento, oriundo da relação centro-periferia é o principal traço das economias latino-americanas; é uma formação histórico-econômica singular constituída </w:t>
      </w:r>
      <w:proofErr w:type="spellStart"/>
      <w:r w:rsidRPr="00543DA9">
        <w:t>polarmente</w:t>
      </w:r>
      <w:proofErr w:type="spellEnd"/>
      <w:r w:rsidRPr="00543DA9">
        <w:t xml:space="preserve"> pelo “atrasado” e pelo “moderno”, e não resultado da expansão do modo de produção capitalista (OLIVEIRA, 2011). Segundo a tese da heterogeneidade estrutural </w:t>
      </w:r>
      <w:proofErr w:type="spellStart"/>
      <w:r w:rsidRPr="00543DA9">
        <w:t>cepalina</w:t>
      </w:r>
      <w:proofErr w:type="spellEnd"/>
      <w:r w:rsidRPr="00543DA9">
        <w:t>, as estruturas diferenciadas das economias subdesenvolvidas conduziam a uma segmentação das economias periféricas entre unidades produtivas “tradicionais”, com baixa produtividade e baixa renda per capita, e “modernas”, com alto padrão de produtividade (SOARES, 2008).</w:t>
      </w:r>
    </w:p>
    <w:p w14:paraId="7AC054D9" w14:textId="77777777" w:rsidR="007814AE" w:rsidRPr="00543DA9" w:rsidRDefault="007814AE" w:rsidP="00FD6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pPr>
      <w:r>
        <w:t xml:space="preserve">Oliveira ([1972], </w:t>
      </w:r>
      <w:r w:rsidRPr="00543DA9">
        <w:t xml:space="preserve">2011) lança uma crítica ao modelo dualista </w:t>
      </w:r>
      <w:proofErr w:type="spellStart"/>
      <w:r w:rsidRPr="00543DA9">
        <w:t>cepalino</w:t>
      </w:r>
      <w:proofErr w:type="spellEnd"/>
      <w:r w:rsidRPr="00543DA9">
        <w:t xml:space="preserve">, tendo como fundamento a ideia de que “[...] o processo real [de acumulação </w:t>
      </w:r>
      <w:r>
        <w:t>de capital</w:t>
      </w:r>
      <w:r w:rsidRPr="00543DA9">
        <w:t xml:space="preserve">] mostra uma simbiose e uma organicidade, uma unidade de contrários, em que o chamado ‘moderno’ cresce e se alimenta da existência do ‘atrasado’ [...]” (OLIVEIRA, 2011, p. 32). Para ele, nenhum aspecto do desenvolvimento capitalista brasileiro pós-1930 e de seu processo de acumulação do capital autoriza a construção de um modelo dual, pois por detrás da aparente dualidade há uma integração dialética. A crítica de Oliveira (2011) é crucial, pois revela que, ao eleger a perspectiva da heterogeneidade, o modelo </w:t>
      </w:r>
      <w:r w:rsidRPr="00543DA9">
        <w:lastRenderedPageBreak/>
        <w:t xml:space="preserve">dualista ignora a funcionalidade e a integração do “atrasado” no “moderno”. Nesse sentido, a perspectiva da dualidade acaba se tornando insuficiente para </w:t>
      </w:r>
      <w:r>
        <w:t xml:space="preserve">a </w:t>
      </w:r>
      <w:r w:rsidRPr="00543DA9">
        <w:t xml:space="preserve">problemática do desemprego no capitalismo e o consequente desenvolvimento da “informalidade” no mercado de trabalho. </w:t>
      </w:r>
    </w:p>
    <w:p w14:paraId="3F83FB2C" w14:textId="77777777" w:rsidR="007814AE" w:rsidRDefault="007814AE" w:rsidP="00FD6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pPr>
      <w:r w:rsidRPr="00543DA9">
        <w:t>Seguindo esta linha, Tavares (2004) defende que a “informalidade”, enquanto manifestação do “atrasado” que está enraizado em relações de trabalho tipicamente capitalistas, não é exterior à produção capitalista, mas, pelo contrário, é inerente à totalidade desta. Nesse sentido, as atividades “informais” que se realizam à margem da produção capitalista, embora não sejam imediatas ao processo de acumulação capitalista, fazem parte do movimento do capital e da renda gerada por ele. Portanto, mesmo que determinadas atividades “informais” não estejam orientadas à acumulação, não significa que elas estejam excluídas da relação capital-trabalho, pois, isso depende dos nexos existentes entre estas atividades e o capital (TAVARES, 2004).</w:t>
      </w:r>
    </w:p>
    <w:p w14:paraId="4547A804" w14:textId="77777777" w:rsidR="007814AE" w:rsidRDefault="007814AE" w:rsidP="00FD6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pPr>
      <w:proofErr w:type="spellStart"/>
      <w:r w:rsidRPr="00543DA9">
        <w:t>Malaguti</w:t>
      </w:r>
      <w:proofErr w:type="spellEnd"/>
      <w:r w:rsidRPr="00543DA9">
        <w:t xml:space="preserve"> (2001), por sua vez, observa que a “informalidade” é muito mais ampla que o “setor informal”, pois este expressa apenas um aspecto daquela e isto se verifica quando atividades informais penetram os circuitos formais da economia. Dessa forma, </w:t>
      </w:r>
      <w:proofErr w:type="spellStart"/>
      <w:r w:rsidRPr="00543DA9">
        <w:t>Malaguti</w:t>
      </w:r>
      <w:proofErr w:type="spellEnd"/>
      <w:r w:rsidRPr="00543DA9">
        <w:t xml:space="preserve"> (2001, p. 101) afirma que “[…] a formalidade penetra o “setor” informal e o “setor” formal nutre-se da informalidade”. A existência de uma sem a outra, de um “setor” sem o “outro”, parece-nos, na prática, inconcebível […]”, destacando uma unidade contraditória entre a “formalidade” e a “informalidade”, entre o “setor formal” e o “setor informal”.</w:t>
      </w:r>
    </w:p>
    <w:p w14:paraId="690583E8" w14:textId="77777777" w:rsidR="007814AE" w:rsidRDefault="007814AE" w:rsidP="00FD6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pPr>
      <w:r>
        <w:t xml:space="preserve">As interpretações de Oliveira (2011), Tavares (2004) e </w:t>
      </w:r>
      <w:proofErr w:type="spellStart"/>
      <w:r>
        <w:t>Malaguti</w:t>
      </w:r>
      <w:proofErr w:type="spellEnd"/>
      <w:r>
        <w:t xml:space="preserve"> (2001) estão lastreadas na teoria </w:t>
      </w:r>
      <w:proofErr w:type="spellStart"/>
      <w:r>
        <w:t>marxiana</w:t>
      </w:r>
      <w:proofErr w:type="spellEnd"/>
      <w:r>
        <w:t xml:space="preserve"> da circulação do capital. Sob a ótica do capital como processo cíclico, sendo este a unidade da produção e da circulação que serve à conservação e à expansão do valor de capital e que permite a reprodução das relações capitalistas de produção e a realização da acumulação, Marx (2014) aborda a totalidade da produção capitalista como </w:t>
      </w:r>
      <w:r>
        <w:rPr>
          <w:i/>
        </w:rPr>
        <w:t>capital social total</w:t>
      </w:r>
      <w:r w:rsidRPr="000864F0">
        <w:t xml:space="preserve">. </w:t>
      </w:r>
      <w:r>
        <w:t>Para ele, o capital social total é o entrelaçamento das diversas frações autonomizadas, a totalidade dos diversos capitais individuais (abarcando não apenas o capital industrial, mas também o capital em ações e o capital estatal), isto é, a totalidade dos movimentos, das rotações dos diversos capitais singulares. E, afirma ele, “[o] ciclo dos capitais individuais, considerados em seu conjunto como capital social, ou seja, em sua totalidade, compreende não apenas a circulação do capital, mas também a circulação geral das mercadorias” (MARX, 2014, p. 450).</w:t>
      </w:r>
    </w:p>
    <w:p w14:paraId="13A24F0C" w14:textId="77777777" w:rsidR="007814AE" w:rsidRDefault="007814AE" w:rsidP="00FD6190">
      <w:pPr>
        <w:spacing w:line="360" w:lineRule="auto"/>
        <w:ind w:firstLine="709"/>
        <w:jc w:val="both"/>
      </w:pPr>
      <w:r>
        <w:lastRenderedPageBreak/>
        <w:t xml:space="preserve">Marx (2014) tinha clara compreensão de que a reposição dos elementos constitutivos do capital produtivo (força de trabalho e meios de produção) para a retomada do processo de produção capitalista trazia à tona a necessidade de queda do valor desses elementos para a liberação de capital monetário, estimulando a </w:t>
      </w:r>
      <w:r w:rsidRPr="005620E0">
        <w:t>incorporação de meios de produção e meios de subsistência oriundos de modos de produção situados fora das fases de desenvolvimento capitalista</w:t>
      </w:r>
      <w:r>
        <w:t xml:space="preserve">, e estabelecendo, assim, uma </w:t>
      </w:r>
      <w:r w:rsidRPr="005620E0">
        <w:t>importante conexão entre o modo de produção capitalista e</w:t>
      </w:r>
      <w:r>
        <w:t xml:space="preserve"> as</w:t>
      </w:r>
      <w:r w:rsidRPr="005620E0">
        <w:t xml:space="preserve"> formações sociais pré-capitalistas</w:t>
      </w:r>
      <w:r>
        <w:t xml:space="preserve">. </w:t>
      </w:r>
      <w:r w:rsidRPr="005620E0">
        <w:t xml:space="preserve">Segundo ele, no </w:t>
      </w:r>
      <w:r>
        <w:t>sistema</w:t>
      </w:r>
      <w:r w:rsidRPr="005620E0">
        <w:t xml:space="preserve"> capitalista, uma significativa parcela das mercadorias que formam os meios de produção consiste em capital-mercadoria alheio em funcionamento. </w:t>
      </w:r>
    </w:p>
    <w:p w14:paraId="54BF4B30" w14:textId="77777777" w:rsidR="007814AE" w:rsidRPr="00065C78" w:rsidRDefault="007814AE" w:rsidP="007814AE">
      <w:pPr>
        <w:spacing w:before="120" w:after="240"/>
        <w:ind w:left="2268"/>
        <w:jc w:val="both"/>
        <w:rPr>
          <w:sz w:val="22"/>
          <w:szCs w:val="22"/>
        </w:rPr>
      </w:pPr>
      <w:r>
        <w:rPr>
          <w:sz w:val="22"/>
          <w:szCs w:val="22"/>
        </w:rPr>
        <w:t xml:space="preserve">[...] </w:t>
      </w:r>
      <w:r w:rsidRPr="00065C78">
        <w:rPr>
          <w:sz w:val="22"/>
          <w:szCs w:val="22"/>
        </w:rPr>
        <w:t xml:space="preserve">o ciclo do capital industrial, seja como capital monetário ou como capital-mercadoria, entrecruza-se com a circulação de mercadorias dos mais diferentes modos sociais de produção, na medida em que essa circulação for, ao mesmo tempo, produção de mercadorias. Pouco importa se as mercadorias são o produto de um sistema de produção baseado na escravidão, ou do trabalho de camponeses </w:t>
      </w:r>
      <w:r>
        <w:rPr>
          <w:sz w:val="22"/>
          <w:szCs w:val="22"/>
        </w:rPr>
        <w:t>[...]</w:t>
      </w:r>
      <w:r w:rsidRPr="00065C78">
        <w:rPr>
          <w:sz w:val="22"/>
          <w:szCs w:val="22"/>
        </w:rPr>
        <w:t xml:space="preserve">, ou de comunidades </w:t>
      </w:r>
      <w:r>
        <w:rPr>
          <w:sz w:val="22"/>
          <w:szCs w:val="22"/>
        </w:rPr>
        <w:t>[...]</w:t>
      </w:r>
      <w:r w:rsidRPr="00065C78">
        <w:rPr>
          <w:sz w:val="22"/>
          <w:szCs w:val="22"/>
        </w:rPr>
        <w:t>, ou da produção estatal (como aquela que, baseada na servidão, ocorre em certas épocas primitivas da história russa), ou de povos caçadores semisselvagens etc.: seja qual for sua origem, elas se confrontam, como mercadorias e dinheiro, com o dinheiro e as mercadorias em que se representa o capital industrial e entram tanto no ciclo deste último quanto no do mais-valor contido no capital-mercadoria, sempre que esse mais-valor for gasto como renda</w:t>
      </w:r>
      <w:r>
        <w:rPr>
          <w:sz w:val="22"/>
          <w:szCs w:val="22"/>
        </w:rPr>
        <w:t>. (MARX, 2014, p. 188-189)</w:t>
      </w:r>
    </w:p>
    <w:p w14:paraId="49B44362" w14:textId="77777777" w:rsidR="007814AE" w:rsidRDefault="007814AE" w:rsidP="007814AE">
      <w:pPr>
        <w:spacing w:line="360" w:lineRule="auto"/>
        <w:ind w:firstLine="709"/>
        <w:jc w:val="both"/>
      </w:pPr>
      <w:r>
        <w:t>A incorporação desse capital-mercadoria alheio,</w:t>
      </w:r>
      <w:r w:rsidRPr="005620E0">
        <w:t xml:space="preserve"> </w:t>
      </w:r>
      <w:r>
        <w:t xml:space="preserve">tanto </w:t>
      </w:r>
      <w:r w:rsidRPr="005620E0">
        <w:t>no ciclo do capital industrial quanto no ciclo do mais-valor</w:t>
      </w:r>
      <w:r>
        <w:t xml:space="preserve">, pressupõe </w:t>
      </w:r>
      <w:r w:rsidRPr="005620E0">
        <w:t>a existência do mercado enquanto mercado mundial que define o processo de circulação do capita</w:t>
      </w:r>
      <w:r>
        <w:t xml:space="preserve">l industrial. Ao passo que são introduzidas no circuito do capital, </w:t>
      </w:r>
      <w:r w:rsidRPr="005620E0">
        <w:t xml:space="preserve">essas mercadorias alheias passam a ser um modo de existência do capital industrial, sendo apagada sua origem. Acontece que a reprodução do processo exige a reposição dos meios de produção, o que significa que o modo de produção capitalista é condicionado por modos de produção que dele diferem, mas o desenvolvimento do mercado mundial tende converter toda a produção em produção capitalista e todos os produtores diretos em trabalhadores assalariados. </w:t>
      </w:r>
    </w:p>
    <w:p w14:paraId="2389E35D" w14:textId="0291BF1F" w:rsidR="007814AE" w:rsidRDefault="007814AE" w:rsidP="007814AE">
      <w:pPr>
        <w:spacing w:line="360" w:lineRule="auto"/>
        <w:ind w:firstLine="709"/>
        <w:jc w:val="both"/>
      </w:pPr>
      <w:r>
        <w:t xml:space="preserve">Harvey (2012) faz uma interessante análise que está relacionada com essa tendência do desenvolvimento do modo de produção capitalista identificada por Marx (2014). Harvey (2012) discute a </w:t>
      </w:r>
      <w:r w:rsidRPr="00BD4563">
        <w:t>possibilidade de existência de uma dialética interna do capitalismo que o força a buscar soluções externas para estabilizar a si mesmo, que ele chama d</w:t>
      </w:r>
      <w:r>
        <w:t xml:space="preserve">e dialética “interior-exterior”, e defende que Marx tinha consciência de que a </w:t>
      </w:r>
      <w:r>
        <w:lastRenderedPageBreak/>
        <w:t xml:space="preserve">acumulação capitalista exige, efetivamente, algo “fora de si mesmo”, uma vez que ele demonstrou que a </w:t>
      </w:r>
      <w:r>
        <w:rPr>
          <w:i/>
        </w:rPr>
        <w:t>lei geral da acumulação capitalista</w:t>
      </w:r>
      <w:r>
        <w:t xml:space="preserve"> está fundamentada na formação de uma superpopulação relativa, de </w:t>
      </w:r>
      <w:r w:rsidRPr="00994659">
        <w:t>um exército industrial de reserva</w:t>
      </w:r>
      <w:r>
        <w:t xml:space="preserve">. Essa consciência também </w:t>
      </w:r>
      <w:r w:rsidR="00CB30DD">
        <w:t>fica patente para nós quando Marx (2004)</w:t>
      </w:r>
      <w:r>
        <w:t xml:space="preserve"> afirma que a circulação do capital abrange tanto capital-mercadoria quanto capital-mercadoria alheio (o mesmo valendo para o capital-monetário)</w:t>
      </w:r>
      <w:r w:rsidR="00CB30DD">
        <w:t>, abrangendo produtos oriundos da produção capitalista e da produção não capitalista nos circuitos de produção e reprodução do capital</w:t>
      </w:r>
      <w:r>
        <w:t xml:space="preserve">. Assim, Harvey (2012) constrói o argumento </w:t>
      </w:r>
      <w:r w:rsidRPr="00994659">
        <w:t>de que o capitalismo necessita da criação perpétua de algo “exterior” para alimentar sua expansão e se estabilizar</w:t>
      </w:r>
      <w:r>
        <w:t xml:space="preserve">. </w:t>
      </w:r>
    </w:p>
    <w:p w14:paraId="7BE43BAD" w14:textId="055AA801" w:rsidR="007814AE" w:rsidRPr="00877A08" w:rsidRDefault="007814AE" w:rsidP="007814AE">
      <w:pPr>
        <w:spacing w:line="360" w:lineRule="auto"/>
        <w:ind w:firstLine="709"/>
        <w:jc w:val="both"/>
        <w:rPr>
          <w:b/>
          <w:bCs/>
        </w:rPr>
      </w:pPr>
      <w:r>
        <w:t>Essa interpretação e o desenvolvimento histórico do capitalismo revelam que formas de produção não capitalistas e formas de trabalho não assalariados são subjugad</w:t>
      </w:r>
      <w:r w:rsidR="00A87168">
        <w:t>os pela dinâmica do capital, e</w:t>
      </w:r>
      <w:r>
        <w:t xml:space="preserve"> não necessariamente direta e integralmente convertidos para dentro da relação entre capital e trabalho. A partir dessa consideração, acreditamos que a dialética “interior-exterior” pode ser aplicada à relação entre trabalho “formal” e trabalho “informal”, servindo como mecanismo de análise do papel exercido pelas atividades ditas “informais” que funcionam à margem da produção capitalista. </w:t>
      </w:r>
    </w:p>
    <w:p w14:paraId="7DD25454" w14:textId="77777777" w:rsidR="007814AE" w:rsidRPr="00877A08" w:rsidRDefault="007814AE" w:rsidP="007814AE">
      <w:pPr>
        <w:pStyle w:val="NormalWeb"/>
        <w:spacing w:before="0" w:after="0" w:line="360" w:lineRule="auto"/>
        <w:ind w:firstLine="709"/>
        <w:jc w:val="both"/>
      </w:pPr>
      <w:r w:rsidRPr="00877A08">
        <w:t>A população trabalhadora excedente (constituída por todo trabalhador desempregado ou parcialmente empregado) é uma consequência natural no curso do desenvolvimento do sistema capitalista, é “[...] a alavanca da acumulação capitalista [como também] a condição de existência do modo de produção capitalista” (MARX, 2008b, p. 735). Para que a acumulação do capital se concretize, faz-se imprescindível tanto o crescimento do próprio capital quanto o reabastecimento automático e a manutenção do exército industrial de reserva. Marx (2008, p. 733) defende que</w:t>
      </w:r>
    </w:p>
    <w:p w14:paraId="08FA1DB8" w14:textId="77777777" w:rsidR="007814AE" w:rsidRPr="00877A08" w:rsidRDefault="007814AE" w:rsidP="007814AE">
      <w:pPr>
        <w:pStyle w:val="NormalWeb"/>
        <w:spacing w:before="120" w:after="240"/>
        <w:ind w:left="2268"/>
        <w:jc w:val="both"/>
        <w:rPr>
          <w:sz w:val="22"/>
          <w:szCs w:val="22"/>
        </w:rPr>
      </w:pPr>
      <w:r w:rsidRPr="00877A08">
        <w:rPr>
          <w:sz w:val="22"/>
          <w:szCs w:val="22"/>
        </w:rPr>
        <w:t>[...] a acumulação capitalista sempre produz, e na proporção da sua energia e de sua extensão, uma população trabalhadora supérflua relativamente, isto é, que ultrapassa as necessidades médias da expansão do capital, tornando-se, desse modo, excedente.</w:t>
      </w:r>
    </w:p>
    <w:p w14:paraId="7E52D16A" w14:textId="77777777" w:rsidR="007814AE" w:rsidRPr="00877A08" w:rsidRDefault="007814AE" w:rsidP="007814AE">
      <w:pPr>
        <w:pStyle w:val="NormalWeb"/>
        <w:spacing w:before="0" w:after="0" w:line="360" w:lineRule="auto"/>
        <w:ind w:firstLine="709"/>
        <w:jc w:val="both"/>
      </w:pPr>
      <w:r w:rsidRPr="00877A08">
        <w:t xml:space="preserve">Marx (2008b, p. 744) divide a superpopulação relativa em três categorias que se apresentam continuamente: flutuante, latente e estagnada, que “[...] ora [se apresenta] em forma aguda, nas crises, ora em forma crônica, nos períodos de paralisação”. A primeira refere-se à população de trabalhadores “[...] que são admitidos, mesmo que em proporção decrescente em relação à escala de produção, e expulsos da indústria moderna” (SABADINI; NAKATANI, 2002, p. 267). A segunda trata da parcela dos trabalhadores rurais que migra para a área urbana e acaba por engrossar as fileiras do </w:t>
      </w:r>
      <w:r w:rsidRPr="00877A08">
        <w:lastRenderedPageBreak/>
        <w:t>proletariado, formando uma população excedente sempre latente. A terceira forma tomada pela superpopulação relativa é aquela que “[...] constitui parte do exército de trabalhadores em ação, mas com ocupação totalmente irregular” (MARX, 2008b, p. 746). Utilizando uma terminologia mais moderna e atual, a estagnada é aquela composta por trabalhadores “informais”.</w:t>
      </w:r>
    </w:p>
    <w:p w14:paraId="4A38CAD7" w14:textId="77777777" w:rsidR="007814AE" w:rsidRPr="00877A08" w:rsidRDefault="007814AE" w:rsidP="007814AE">
      <w:pPr>
        <w:pStyle w:val="NormalWeb"/>
        <w:spacing w:before="0" w:after="0" w:line="360" w:lineRule="auto"/>
        <w:ind w:firstLine="709"/>
        <w:jc w:val="both"/>
      </w:pPr>
      <w:r w:rsidRPr="00877A08">
        <w:t>Marx (2008b) descreve, exatamente, as condições e características do que entendemos por velha “informalidade”, ou seja, a que comporta trabalhadores subempregados, com ocupações precárias e mal remuneradas, no sentido de auferir sua sobrevivência e, por vezes, sua subsistência. Braudel (</w:t>
      </w:r>
      <w:r w:rsidRPr="00EA5032">
        <w:rPr>
          <w:i/>
        </w:rPr>
        <w:t>apud</w:t>
      </w:r>
      <w:r w:rsidRPr="00877A08">
        <w:t xml:space="preserve"> SOARES, 2008) nos fornece outros indícios da existência de atividades “informais” em tempos remotos do capitalismo. Ao tratar da França do século XVII, ele afirma: “Aumentam as reclamações contra os vendedores ambulantes, que são prejudiciais ao comércio, que vendem ilicitamente suas mercadorias e, por isso, são perseguidos pelas autoridades municipais” (BRAUDEL, </w:t>
      </w:r>
      <w:r w:rsidRPr="00EA5032">
        <w:rPr>
          <w:i/>
        </w:rPr>
        <w:t>apud</w:t>
      </w:r>
      <w:r w:rsidRPr="00877A08">
        <w:t xml:space="preserve"> SOARES, 2008, p. 47). Essa realidade é muito comum às grandes e médias cidades brasileiras e às de tantos outros países mundo afora e é, indiscutivelmente, trabalho “informal”. </w:t>
      </w:r>
    </w:p>
    <w:p w14:paraId="7FCA7357" w14:textId="77777777" w:rsidR="007814AE" w:rsidRPr="00877A08" w:rsidRDefault="007814AE" w:rsidP="007814AE">
      <w:pPr>
        <w:pStyle w:val="NormalWeb"/>
        <w:spacing w:before="0" w:after="0" w:line="360" w:lineRule="auto"/>
        <w:ind w:firstLine="709"/>
        <w:jc w:val="both"/>
      </w:pPr>
      <w:r w:rsidRPr="00877A08">
        <w:t xml:space="preserve">Tavares (2004), por sua vez, defende uma nova “informalidade” que se potencializa e se adequa à lógica da acumulação capitalista, cujos pilares são as políticas neoliberais – liberalização comercial, desregulamentação do mercado financeiro e privatização – e a reestruturação produtiva – flexibilização da produção e das relações produtivas. Segundo Tavares (2004) esses pilares asseguram a consecução do desenvolvimento do capitalismo conforme suas reivindicações, ora na forma de subcontratações, ora sob o aspecto da terceirização, ora como cooperativismo, permitindo ao capital, mais uma vez, superar um momento de crise. Essa nova forma de exploração do trabalhador é executada sob às rédeas firmes do capitalista, em especial, na aparência da terceirização. No processo de terceirização </w:t>
      </w:r>
    </w:p>
    <w:p w14:paraId="14B7DDA0" w14:textId="77777777" w:rsidR="007814AE" w:rsidRPr="009E31C1" w:rsidRDefault="007814AE" w:rsidP="007814AE">
      <w:pPr>
        <w:pStyle w:val="NormalWeb"/>
        <w:spacing w:before="120" w:after="240"/>
        <w:ind w:left="2268"/>
        <w:jc w:val="both"/>
        <w:rPr>
          <w:sz w:val="22"/>
          <w:szCs w:val="22"/>
        </w:rPr>
      </w:pPr>
      <w:r w:rsidRPr="00877A08">
        <w:rPr>
          <w:sz w:val="22"/>
          <w:szCs w:val="22"/>
        </w:rPr>
        <w:t xml:space="preserve">As empresas contratantes, ou seja, as que estão terceirizando parte do processo de produção, vão implementar a redução dos custos provenientes da força de trabalho, por meio da </w:t>
      </w:r>
      <w:r w:rsidRPr="00877A08">
        <w:rPr>
          <w:i/>
          <w:sz w:val="22"/>
          <w:szCs w:val="22"/>
        </w:rPr>
        <w:t>exploração de relações de trabalho precárias, como, por exemplo, a contratação de pequenas empresas e de coorporativas; a subcontratação de trabalhadores, cujas atividades são desenvolvidas em domicílio; o trabalho por tempo parcial e o trabalho sem registro em carteira</w:t>
      </w:r>
      <w:r w:rsidRPr="00877A08">
        <w:rPr>
          <w:sz w:val="22"/>
          <w:szCs w:val="22"/>
        </w:rPr>
        <w:t xml:space="preserve">. </w:t>
      </w:r>
      <w:r w:rsidRPr="009E31C1">
        <w:rPr>
          <w:sz w:val="22"/>
          <w:szCs w:val="22"/>
        </w:rPr>
        <w:t>(SOARES, 2004, p. 10, grifo nosso)</w:t>
      </w:r>
    </w:p>
    <w:p w14:paraId="6CBDF0E7" w14:textId="77777777" w:rsidR="007814AE" w:rsidRDefault="007814AE" w:rsidP="006121F5">
      <w:pPr>
        <w:pStyle w:val="NormalWeb"/>
        <w:spacing w:before="0" w:after="0" w:line="360" w:lineRule="auto"/>
        <w:ind w:firstLine="709"/>
        <w:jc w:val="both"/>
      </w:pPr>
      <w:r w:rsidRPr="00877A08">
        <w:t xml:space="preserve">A manifestação da nova “informalidade” do trabalho no período pós-fordista só reforça seu caráter funcional à acumulação capitalista, pois não se restringe apenas aos </w:t>
      </w:r>
      <w:r w:rsidRPr="00877A08">
        <w:lastRenderedPageBreak/>
        <w:t xml:space="preserve">setores desprotegidos/tradicionais da indústria e dos serviços, mas aparece, principalmente, nos setores organizados/modernos do capitalismo. Para Alves (1999), é a partir da globalização neoliberal que se verifica, procedendo da lógica do </w:t>
      </w:r>
      <w:proofErr w:type="spellStart"/>
      <w:r w:rsidRPr="00877A08">
        <w:t>toyotismo</w:t>
      </w:r>
      <w:proofErr w:type="spellEnd"/>
      <w:r w:rsidRPr="00877A08">
        <w:t>, a ampliação de um complexo de pequenas empresas fornecedoras e subcontratadas que estão na órbita do grande capital, de corporações e conglomerados transnacionais.</w:t>
      </w:r>
    </w:p>
    <w:p w14:paraId="4DCFCD72" w14:textId="77777777" w:rsidR="007814AE" w:rsidRDefault="007814AE" w:rsidP="00612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rPr>
      </w:pPr>
    </w:p>
    <w:p w14:paraId="38096E40" w14:textId="30B9A537" w:rsidR="003106F1" w:rsidRPr="0048550D" w:rsidRDefault="003106F1" w:rsidP="006121F5">
      <w:pPr>
        <w:pStyle w:val="PargrafodaLista"/>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0"/>
        <w:jc w:val="both"/>
        <w:rPr>
          <w:b/>
          <w:sz w:val="24"/>
          <w:szCs w:val="24"/>
        </w:rPr>
      </w:pPr>
      <w:r w:rsidRPr="0048550D">
        <w:rPr>
          <w:b/>
          <w:sz w:val="24"/>
          <w:szCs w:val="24"/>
        </w:rPr>
        <w:t xml:space="preserve">OS FUNDAMENTOS DO TRABALHO “INFORMAL” NA ACUMULAÇÃO DE CAPITAL </w:t>
      </w:r>
    </w:p>
    <w:p w14:paraId="5CD74CF0" w14:textId="77777777" w:rsidR="003106F1" w:rsidRPr="00543DA9" w:rsidRDefault="003106F1" w:rsidP="00612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pPr>
      <w:r w:rsidRPr="00543DA9">
        <w:t>A lógica do desenvolvimento capitalista impõe a necessidade de ampliação do exército industrial de reserva, uma vez que o progresso no capita</w:t>
      </w:r>
      <w:r>
        <w:t>lismo é poupador de mão de obra, resultando na</w:t>
      </w:r>
      <w:r w:rsidRPr="00543DA9">
        <w:t xml:space="preserve"> tendência de crescimento do desemprego e </w:t>
      </w:r>
      <w:r>
        <w:t>na busca de alternativas para a garantia d</w:t>
      </w:r>
      <w:r w:rsidRPr="00543DA9">
        <w:t>a sobrevivência</w:t>
      </w:r>
      <w:r w:rsidRPr="00671E57">
        <w:t xml:space="preserve"> </w:t>
      </w:r>
      <w:r>
        <w:t xml:space="preserve">por </w:t>
      </w:r>
      <w:r w:rsidRPr="00543DA9">
        <w:t xml:space="preserve">grande parcela da população desempregada. Assim, fica evidente que o desemprego não é voluntário ou mesmo mero resultado casual de um desequilíbrio econômico, mas </w:t>
      </w:r>
      <w:r>
        <w:t xml:space="preserve">é, </w:t>
      </w:r>
      <w:r w:rsidRPr="00543DA9">
        <w:t>antes</w:t>
      </w:r>
      <w:r>
        <w:t>,</w:t>
      </w:r>
      <w:r w:rsidRPr="00543DA9">
        <w:t xml:space="preserve"> produto necessário do </w:t>
      </w:r>
      <w:r>
        <w:t>capitalismo</w:t>
      </w:r>
      <w:r w:rsidRPr="00543DA9">
        <w:t xml:space="preserve"> dado que a superpopulação relativa é uma alavanca da acumulação capitalista (MARX, 2008; HARVEY, 2013; SOARES, 2008).</w:t>
      </w:r>
      <w:r>
        <w:t xml:space="preserve"> </w:t>
      </w:r>
      <w:r w:rsidRPr="00543DA9">
        <w:t xml:space="preserve">Nesse sentido, o surgimento de formas de trabalho que </w:t>
      </w:r>
      <w:r>
        <w:t>fogem</w:t>
      </w:r>
      <w:r w:rsidRPr="00543DA9">
        <w:t xml:space="preserve"> às regulamentações </w:t>
      </w:r>
      <w:r>
        <w:t>do</w:t>
      </w:r>
      <w:r w:rsidRPr="00543DA9">
        <w:t xml:space="preserve"> Estado torna-se compreensível e, portanto, o advento do trabalho “informal” no cerne da dinâmica do sistema capitalista torna-se inevitável. Assim como o desemprego tem uma funcionalidade no capitalismo, o trabalho “informal” também a tem.</w:t>
      </w:r>
    </w:p>
    <w:p w14:paraId="4AAF7C29" w14:textId="77777777" w:rsidR="003106F1" w:rsidRDefault="003106F1" w:rsidP="006121F5">
      <w:pPr>
        <w:spacing w:line="360" w:lineRule="auto"/>
        <w:ind w:firstLine="709"/>
        <w:jc w:val="both"/>
      </w:pPr>
      <w:r w:rsidRPr="00543DA9">
        <w:t xml:space="preserve">A concorrência e a acumulação de capital resultam, ao longo do tempo, no aumento da composição orgânica do capital, sendo a tendência à queda da taxa de lucro um de seus desdobramentos. Apesar da </w:t>
      </w:r>
      <w:r>
        <w:t>mais-valor</w:t>
      </w:r>
      <w:r w:rsidRPr="00543DA9">
        <w:t xml:space="preserve"> ser criada apenas pelo capital variável, na visão do capitalista seu ganho real advém do investimento feito tanto em meios de produção quanto em força de trabalho, logo, ele baseia sua taxa de lucro em todo capital investido, sendo ela a razão entre a taxa de </w:t>
      </w:r>
      <w:r>
        <w:t>mais-valor</w:t>
      </w:r>
      <w:r w:rsidRPr="00543DA9">
        <w:t xml:space="preserve"> e a composição orgânica do capital (</w:t>
      </w:r>
      <w:r w:rsidRPr="00B543E6">
        <w:t>MARX, 2008c</w:t>
      </w:r>
      <w:r w:rsidRPr="00543DA9">
        <w:t xml:space="preserve">; HUNT, 1989). </w:t>
      </w:r>
    </w:p>
    <w:p w14:paraId="493B1D17" w14:textId="77777777" w:rsidR="003106F1" w:rsidRPr="00543DA9" w:rsidRDefault="003106F1" w:rsidP="006121F5">
      <w:pPr>
        <w:spacing w:line="360" w:lineRule="auto"/>
        <w:ind w:firstLine="709"/>
        <w:jc w:val="both"/>
      </w:pPr>
      <w:r w:rsidRPr="00543DA9">
        <w:t xml:space="preserve">A concorrência intercapitalista sempre fará com que cada capitalista tenha interesse em aumentar a taxa de </w:t>
      </w:r>
      <w:r>
        <w:t>mais-valor</w:t>
      </w:r>
      <w:r w:rsidRPr="00543DA9">
        <w:t xml:space="preserve"> mediante o prolongamento ou intensificação da jornada de trabalho e/ou a elevação da produtividade do trabalho a partir das inovações (de método, organizacional e tecnológica)</w:t>
      </w:r>
      <w:r>
        <w:rPr>
          <w:rStyle w:val="Refdenotaderodap"/>
        </w:rPr>
        <w:footnoteReference w:id="4"/>
      </w:r>
      <w:r w:rsidRPr="00543DA9">
        <w:t xml:space="preserve">. Como o crescimento expressivo </w:t>
      </w:r>
      <w:r w:rsidRPr="00543DA9">
        <w:lastRenderedPageBreak/>
        <w:t>do capitalismo se deve muito ao emprego de tecnologia superior no processo de produção</w:t>
      </w:r>
      <w:r w:rsidRPr="00543DA9">
        <w:rPr>
          <w:rStyle w:val="Refdenotaderodap"/>
        </w:rPr>
        <w:footnoteReference w:id="5"/>
      </w:r>
      <w:r w:rsidRPr="00543DA9">
        <w:t xml:space="preserve">, uma contradição acaba emergindo durante esse processo: mesmo que as inovações tecnológicas aumentem a rentabilidade do capital, elas reduzem gradativamente a geração de </w:t>
      </w:r>
      <w:r>
        <w:t>mais-valor</w:t>
      </w:r>
      <w:r w:rsidRPr="00543DA9">
        <w:t xml:space="preserve"> (MARX, 2008</w:t>
      </w:r>
      <w:r>
        <w:t>a</w:t>
      </w:r>
      <w:r w:rsidRPr="00543DA9">
        <w:t>; HARVEY, 2013).</w:t>
      </w:r>
    </w:p>
    <w:p w14:paraId="7BD7E048" w14:textId="77777777" w:rsidR="003106F1" w:rsidRPr="00543DA9" w:rsidRDefault="003106F1" w:rsidP="006121F5">
      <w:pPr>
        <w:spacing w:line="360" w:lineRule="auto"/>
        <w:ind w:firstLine="709"/>
        <w:jc w:val="both"/>
      </w:pPr>
      <w:r w:rsidRPr="00543DA9">
        <w:t xml:space="preserve">Assim, a baixa tendencial da taxa de lucro torna-se uma limitação concreta à valorização do capital, uma vez que a lei do valor se impõe e a crise se revela como solução temporária para as próprias contradições do sistema. Não obstante ser uma lei sistêmica, a queda tendencial da taxa de lucro não impõe à sociedade capitalista uma eterna conjuntura de crise e nem levou a sua derrocada. </w:t>
      </w:r>
      <w:r w:rsidRPr="0015768E">
        <w:t xml:space="preserve">Marx (2008c) </w:t>
      </w:r>
      <w:r w:rsidRPr="00543DA9">
        <w:t xml:space="preserve">esclareceu esse ponto ao identificar a existência de </w:t>
      </w:r>
      <w:proofErr w:type="spellStart"/>
      <w:r w:rsidRPr="00543DA9">
        <w:t>contratendências</w:t>
      </w:r>
      <w:proofErr w:type="spellEnd"/>
      <w:r w:rsidRPr="00543DA9">
        <w:t xml:space="preserve"> adotadas pelos capitalistas que podem deter ou até mesmo inverter a tendência à queda da taxa de lucro</w:t>
      </w:r>
      <w:r w:rsidRPr="00543DA9">
        <w:rPr>
          <w:rStyle w:val="Refdenotaderodap"/>
        </w:rPr>
        <w:footnoteReference w:id="6"/>
      </w:r>
      <w:r w:rsidRPr="00543DA9">
        <w:t xml:space="preserve">, uma vez que atuam na elevação da taxa de </w:t>
      </w:r>
      <w:r>
        <w:t>mais-valor</w:t>
      </w:r>
      <w:r w:rsidRPr="00543DA9">
        <w:t xml:space="preserve"> ao mesmo tempo </w:t>
      </w:r>
      <w:r>
        <w:t xml:space="preserve">em </w:t>
      </w:r>
      <w:r w:rsidRPr="00543DA9">
        <w:t xml:space="preserve">que interferem pouco ou nada na composição orgânica do capital.   </w:t>
      </w:r>
    </w:p>
    <w:p w14:paraId="23C41DB3" w14:textId="77777777" w:rsidR="003106F1" w:rsidRDefault="003106F1" w:rsidP="006121F5">
      <w:pPr>
        <w:spacing w:line="360" w:lineRule="auto"/>
        <w:ind w:firstLine="709"/>
        <w:jc w:val="both"/>
      </w:pPr>
      <w:r w:rsidRPr="00543DA9">
        <w:t xml:space="preserve">Entre as </w:t>
      </w:r>
      <w:proofErr w:type="spellStart"/>
      <w:r w:rsidRPr="00543DA9">
        <w:t>contratendências</w:t>
      </w:r>
      <w:proofErr w:type="spellEnd"/>
      <w:r w:rsidRPr="00543DA9">
        <w:t xml:space="preserve"> apontadas por </w:t>
      </w:r>
      <w:r w:rsidRPr="0015768E">
        <w:t>Marx (2008c)</w:t>
      </w:r>
      <w:r w:rsidRPr="00543DA9">
        <w:t xml:space="preserve">, a redução dos salários abaixo do valor da força de trabalho e o crescimento da superpopulação relativa surgem como forças compensatórias à tendência de queda progressiva da taxa de lucro. A “informalidade” do trabalho consiste numa forma concreta de manifestação destas duas </w:t>
      </w:r>
      <w:proofErr w:type="spellStart"/>
      <w:r w:rsidRPr="00543DA9">
        <w:t>contratendências</w:t>
      </w:r>
      <w:proofErr w:type="spellEnd"/>
      <w:r w:rsidRPr="00543DA9">
        <w:t xml:space="preserve">, já que a expansão do trabalho “informal” torna crescente a disponibilidade de força de trabalho à procura </w:t>
      </w:r>
      <w:r>
        <w:t>de postos de trabalho “formais”</w:t>
      </w:r>
      <w:r w:rsidRPr="00543DA9">
        <w:t xml:space="preserve"> em tempo integral e socialmente protegido</w:t>
      </w:r>
      <w:r>
        <w:t>s</w:t>
      </w:r>
      <w:r w:rsidRPr="00543DA9">
        <w:t xml:space="preserve">. </w:t>
      </w:r>
    </w:p>
    <w:p w14:paraId="35B4131A" w14:textId="77777777" w:rsidR="003106F1" w:rsidRDefault="003106F1" w:rsidP="006121F5">
      <w:pPr>
        <w:spacing w:line="360" w:lineRule="auto"/>
        <w:ind w:firstLine="709"/>
        <w:jc w:val="both"/>
      </w:pPr>
      <w:r w:rsidRPr="00543DA9">
        <w:t xml:space="preserve">Não tendo acesso ao trabalho “formal”, tais trabalhadores passam a concorrer entre si por postos de trabalhos </w:t>
      </w:r>
      <w:proofErr w:type="spellStart"/>
      <w:r w:rsidRPr="00543DA9">
        <w:t>precarizados</w:t>
      </w:r>
      <w:proofErr w:type="spellEnd"/>
      <w:r w:rsidRPr="00543DA9">
        <w:t>, sujeitos a longas jornadas de trabalho e a salários comprimidos, conduzindo ao rebaixamento do nível salarial. E, na medida em que oferecem condições de ocupação e sobrevivência da força de trabalho excedente, a “informalidade” permite que a pressão social pela incorporação imediata da população excedente nas relações capitalistas de produção seja aliviada, evitando uma convulsão social.</w:t>
      </w:r>
    </w:p>
    <w:p w14:paraId="584D9354" w14:textId="77777777" w:rsidR="003106F1" w:rsidRDefault="003106F1" w:rsidP="006121F5">
      <w:pPr>
        <w:pStyle w:val="NormalWeb"/>
        <w:spacing w:before="0" w:after="0" w:line="360" w:lineRule="auto"/>
        <w:jc w:val="both"/>
        <w:rPr>
          <w:b/>
          <w:bCs/>
        </w:rPr>
      </w:pPr>
    </w:p>
    <w:p w14:paraId="3319D0E9" w14:textId="41D76CF0" w:rsidR="001811BF" w:rsidRPr="0048550D" w:rsidRDefault="0048550D" w:rsidP="006121F5">
      <w:pPr>
        <w:pStyle w:val="PargrafodaLista"/>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0"/>
        <w:jc w:val="both"/>
        <w:rPr>
          <w:b/>
          <w:sz w:val="24"/>
          <w:szCs w:val="24"/>
        </w:rPr>
      </w:pPr>
      <w:r>
        <w:rPr>
          <w:b/>
          <w:sz w:val="24"/>
          <w:szCs w:val="24"/>
        </w:rPr>
        <w:lastRenderedPageBreak/>
        <w:t>DADOS SOBRE “FORMALIDADE” E</w:t>
      </w:r>
      <w:r w:rsidR="007814AE" w:rsidRPr="0048550D">
        <w:rPr>
          <w:b/>
          <w:sz w:val="24"/>
          <w:szCs w:val="24"/>
        </w:rPr>
        <w:t xml:space="preserve"> “INFORMALIDADE” DO TRABALHO NO BRASIL E NO PARÁ</w:t>
      </w:r>
      <w:r w:rsidR="000A011F">
        <w:rPr>
          <w:b/>
          <w:sz w:val="24"/>
          <w:szCs w:val="24"/>
        </w:rPr>
        <w:t>.</w:t>
      </w:r>
    </w:p>
    <w:p w14:paraId="00705ADB" w14:textId="562135DC" w:rsidR="007F23E9" w:rsidRDefault="007F23E9" w:rsidP="000A011F">
      <w:pPr>
        <w:spacing w:line="360" w:lineRule="auto"/>
        <w:ind w:firstLine="709"/>
        <w:jc w:val="both"/>
      </w:pPr>
      <w:r>
        <w:t>Nesta seção</w:t>
      </w:r>
      <w:r w:rsidR="004C63AC">
        <w:t>,</w:t>
      </w:r>
      <w:r>
        <w:t xml:space="preserve"> </w:t>
      </w:r>
      <w:r w:rsidR="004C63AC">
        <w:t>analisamos</w:t>
      </w:r>
      <w:r>
        <w:t xml:space="preserve"> o mercado de trabalho brasileiro e paraense através de informações extraídas d</w:t>
      </w:r>
      <w:r w:rsidR="009518A9">
        <w:t>a Pesquisa Nacional de Amostra por</w:t>
      </w:r>
      <w:r>
        <w:t xml:space="preserve"> Domicílio</w:t>
      </w:r>
      <w:r w:rsidR="009518A9">
        <w:t>s</w:t>
      </w:r>
      <w:r>
        <w:t xml:space="preserve"> do Instituto Brasileiro de Geografia e Estatística </w:t>
      </w:r>
      <w:r w:rsidR="004C63AC">
        <w:t>(</w:t>
      </w:r>
      <w:r>
        <w:t>PNAD/IBGE</w:t>
      </w:r>
      <w:r w:rsidR="004C63AC">
        <w:t>) entre os anos 2001 e 2014 e,</w:t>
      </w:r>
      <w:r>
        <w:t xml:space="preserve"> quando possível</w:t>
      </w:r>
      <w:r w:rsidR="009518A9">
        <w:t>,</w:t>
      </w:r>
      <w:r>
        <w:t xml:space="preserve"> para</w:t>
      </w:r>
      <w:r w:rsidR="004C63AC">
        <w:t xml:space="preserve"> alguns anos d</w:t>
      </w:r>
      <w:r w:rsidR="005862D0">
        <w:t>a década de 1990</w:t>
      </w:r>
      <w:r>
        <w:t xml:space="preserve">. O objetivo é </w:t>
      </w:r>
      <w:r w:rsidR="009518A9">
        <w:t>acompanhar</w:t>
      </w:r>
      <w:r>
        <w:t xml:space="preserve"> </w:t>
      </w:r>
      <w:r w:rsidR="004A7242">
        <w:t xml:space="preserve">os movimentos </w:t>
      </w:r>
      <w:r>
        <w:t>d</w:t>
      </w:r>
      <w:r w:rsidR="004A7242">
        <w:t>e</w:t>
      </w:r>
      <w:r>
        <w:t xml:space="preserve"> </w:t>
      </w:r>
      <w:r w:rsidR="004A7242">
        <w:t>“</w:t>
      </w:r>
      <w:r>
        <w:t>formalidade</w:t>
      </w:r>
      <w:r w:rsidR="004A7242">
        <w:t>”</w:t>
      </w:r>
      <w:r>
        <w:t xml:space="preserve"> e </w:t>
      </w:r>
      <w:r w:rsidR="004A7242">
        <w:t>de “</w:t>
      </w:r>
      <w:r>
        <w:t>informalidade</w:t>
      </w:r>
      <w:r w:rsidR="004A7242">
        <w:t>”</w:t>
      </w:r>
      <w:r>
        <w:t xml:space="preserve"> do trabalho no Brasil e</w:t>
      </w:r>
      <w:r w:rsidR="009518A9">
        <w:t xml:space="preserve"> no</w:t>
      </w:r>
      <w:r>
        <w:t xml:space="preserve"> estado do Pará</w:t>
      </w:r>
      <w:r w:rsidR="00A231BA">
        <w:t xml:space="preserve"> </w:t>
      </w:r>
      <w:r w:rsidR="00A274E3">
        <w:t xml:space="preserve">a fim de </w:t>
      </w:r>
      <w:r w:rsidR="00A231BA">
        <w:t xml:space="preserve">tentar enxergar elementos </w:t>
      </w:r>
      <w:r w:rsidR="000A011F">
        <w:t>que revele</w:t>
      </w:r>
      <w:r w:rsidR="00A231BA">
        <w:t>m a integração dialética entre o trabalho “formal” e “informal”</w:t>
      </w:r>
      <w:r w:rsidR="000A011F">
        <w:t xml:space="preserve"> e a funcionalidade da “informalidade” na acumulação capitalista,</w:t>
      </w:r>
      <w:r w:rsidR="00A231BA">
        <w:t xml:space="preserve"> tal como discutido nas seções anteriores</w:t>
      </w:r>
      <w:r w:rsidR="00A274E3">
        <w:t>.</w:t>
      </w:r>
      <w:r w:rsidR="006121F5">
        <w:t xml:space="preserve"> </w:t>
      </w:r>
    </w:p>
    <w:p w14:paraId="66FE08E5" w14:textId="636985E1" w:rsidR="000C0E9E" w:rsidRDefault="007F23E9" w:rsidP="006121F5">
      <w:pPr>
        <w:spacing w:line="360" w:lineRule="auto"/>
        <w:ind w:firstLine="709"/>
        <w:jc w:val="both"/>
      </w:pPr>
      <w:r>
        <w:t xml:space="preserve">No Gráfico </w:t>
      </w:r>
      <w:proofErr w:type="gramStart"/>
      <w:r>
        <w:t>1</w:t>
      </w:r>
      <w:proofErr w:type="gramEnd"/>
      <w:r w:rsidR="00B5355A">
        <w:t>,</w:t>
      </w:r>
      <w:r>
        <w:t xml:space="preserve"> apresenta</w:t>
      </w:r>
      <w:r w:rsidR="00B5355A">
        <w:t>mos</w:t>
      </w:r>
      <w:r>
        <w:t xml:space="preserve"> as taxas de informalidade e formalidade</w:t>
      </w:r>
      <w:r w:rsidR="000835ED">
        <w:rPr>
          <w:rStyle w:val="Refdenotaderodap"/>
        </w:rPr>
        <w:footnoteReference w:id="7"/>
      </w:r>
      <w:r w:rsidR="00821510">
        <w:t xml:space="preserve"> para</w:t>
      </w:r>
      <w:r>
        <w:t xml:space="preserve"> Brasil e Pará</w:t>
      </w:r>
      <w:r w:rsidR="00B5355A">
        <w:t xml:space="preserve"> no período</w:t>
      </w:r>
      <w:r w:rsidR="0071701D">
        <w:t xml:space="preserve"> descontínuo</w:t>
      </w:r>
      <w:r w:rsidR="00B5355A">
        <w:t xml:space="preserve"> de 1993 a 2014</w:t>
      </w:r>
      <w:r>
        <w:t xml:space="preserve">. </w:t>
      </w:r>
      <w:r w:rsidR="000279CA">
        <w:t>Na</w:t>
      </w:r>
      <w:r>
        <w:t xml:space="preserve"> comparação </w:t>
      </w:r>
      <w:r w:rsidR="000279CA">
        <w:t>dos dois mercados</w:t>
      </w:r>
      <w:r>
        <w:t>, podemos observar que</w:t>
      </w:r>
      <w:r w:rsidR="000279CA">
        <w:t>, embora haja uma redução na taxa de informalidade tanto no Brasil quanto no Pará ao longo do período estudado, o Pará apresenta, claramente, tax</w:t>
      </w:r>
      <w:r w:rsidR="00821510">
        <w:t>as de informalidade superiores à</w:t>
      </w:r>
      <w:r w:rsidR="000279CA">
        <w:t>s do Brasil em toda a série</w:t>
      </w:r>
      <w:r w:rsidR="000279CA" w:rsidRPr="000279CA">
        <w:t xml:space="preserve"> </w:t>
      </w:r>
      <w:r w:rsidR="000279CA">
        <w:t>com valores acima de 70%</w:t>
      </w:r>
      <w:r w:rsidR="00821510">
        <w:t>,</w:t>
      </w:r>
      <w:r w:rsidR="000279CA">
        <w:t xml:space="preserve"> até meados de 2004</w:t>
      </w:r>
      <w:r w:rsidR="00821510">
        <w:t>,</w:t>
      </w:r>
      <w:r w:rsidR="000279CA">
        <w:t xml:space="preserve"> e acima de 60% a partir do mesmo ano.</w:t>
      </w:r>
      <w:r w:rsidR="000279CA" w:rsidRPr="000279CA">
        <w:t xml:space="preserve"> </w:t>
      </w:r>
      <w:r w:rsidR="000279CA">
        <w:t>Em relação às t</w:t>
      </w:r>
      <w:r w:rsidR="008559E9">
        <w:t>axas de formalidade do trabalho no</w:t>
      </w:r>
      <w:r w:rsidR="000279CA">
        <w:t xml:space="preserve"> Brasil</w:t>
      </w:r>
      <w:r w:rsidR="008559E9">
        <w:t>,</w:t>
      </w:r>
      <w:r w:rsidR="000279CA">
        <w:t xml:space="preserve"> </w:t>
      </w:r>
      <w:r w:rsidR="008559E9">
        <w:t>observamos</w:t>
      </w:r>
      <w:r w:rsidR="00F27B95">
        <w:t xml:space="preserve"> uma</w:t>
      </w:r>
      <w:r w:rsidR="000279CA">
        <w:t xml:space="preserve"> tendência positiva,</w:t>
      </w:r>
      <w:r w:rsidR="00430F62">
        <w:t xml:space="preserve"> pois</w:t>
      </w:r>
      <w:r w:rsidR="00821510">
        <w:t>,</w:t>
      </w:r>
      <w:r w:rsidR="00430F62">
        <w:t xml:space="preserve"> a partir de 2011</w:t>
      </w:r>
      <w:r w:rsidR="00821510">
        <w:t>,</w:t>
      </w:r>
      <w:r w:rsidR="00430F62">
        <w:t xml:space="preserve"> sua</w:t>
      </w:r>
      <w:r w:rsidR="000279CA">
        <w:t>s taxas de formalidade superaram as de informalidade, enquanto que no Pará, apesar de crescente, a formalidade não conseguiu alcançar nem 40% em toda a série.</w:t>
      </w:r>
      <w:r w:rsidR="00821510">
        <w:t xml:space="preserve"> </w:t>
      </w:r>
    </w:p>
    <w:p w14:paraId="283E4A3D" w14:textId="14BD1BEC" w:rsidR="000279CA" w:rsidRDefault="00821510" w:rsidP="006121F5">
      <w:pPr>
        <w:spacing w:line="360" w:lineRule="auto"/>
        <w:ind w:firstLine="709"/>
        <w:jc w:val="both"/>
      </w:pPr>
      <w:r>
        <w:t xml:space="preserve">O </w:t>
      </w:r>
      <w:r w:rsidR="00BB3569">
        <w:t>peso das</w:t>
      </w:r>
      <w:r>
        <w:t xml:space="preserve"> ocupações informais na estrutura desses mercados de trabalho</w:t>
      </w:r>
      <w:r w:rsidR="00BB3569">
        <w:t>, apesar do nítido movimento de formalização em ambos,</w:t>
      </w:r>
      <w:r>
        <w:t xml:space="preserve"> est</w:t>
      </w:r>
      <w:r w:rsidR="00BB3569">
        <w:t>á atrelado</w:t>
      </w:r>
      <w:r>
        <w:t xml:space="preserve"> ao alto nível de concentração de renda inerente à economia brasileira, mas mais contundente na economia paraense, dada as próprias característica da formação histórica e econômica da Amazônia.</w:t>
      </w:r>
      <w:r w:rsidR="0084238C">
        <w:t xml:space="preserve"> </w:t>
      </w:r>
      <w:r w:rsidR="0084238C">
        <w:t>Nota-se, pelo movimento das taxas ao longo da série</w:t>
      </w:r>
      <w:r w:rsidR="0084238C">
        <w:t xml:space="preserve"> analisada</w:t>
      </w:r>
      <w:r w:rsidR="0084238C">
        <w:t>, como o comportamento da formalidade e informalidade s</w:t>
      </w:r>
      <w:r w:rsidR="0084238C">
        <w:t>ão comp</w:t>
      </w:r>
      <w:r w:rsidR="00892279">
        <w:t>lementar</w:t>
      </w:r>
      <w:r w:rsidR="0084238C">
        <w:t xml:space="preserve">es, ao mesmo tempo </w:t>
      </w:r>
      <w:r w:rsidR="00892279">
        <w:t xml:space="preserve">em </w:t>
      </w:r>
      <w:r w:rsidR="0084238C">
        <w:t>que se afirmam enquanto lógicas contraditórias de inserção da força de trabalho nas ocupações.</w:t>
      </w:r>
    </w:p>
    <w:p w14:paraId="7C600A2F" w14:textId="77777777" w:rsidR="000279CA" w:rsidRDefault="000279CA" w:rsidP="006121F5">
      <w:pPr>
        <w:spacing w:line="360" w:lineRule="auto"/>
        <w:ind w:firstLine="709"/>
        <w:jc w:val="both"/>
      </w:pPr>
    </w:p>
    <w:p w14:paraId="0828500C" w14:textId="03CF96C8" w:rsidR="000A4A0C" w:rsidRPr="000A4A0C" w:rsidRDefault="000A4A0C" w:rsidP="000A4A0C">
      <w:pPr>
        <w:pStyle w:val="Legenda"/>
        <w:keepNext/>
        <w:spacing w:after="0"/>
        <w:jc w:val="center"/>
        <w:rPr>
          <w:b w:val="0"/>
          <w:color w:val="auto"/>
          <w:sz w:val="22"/>
          <w:szCs w:val="22"/>
        </w:rPr>
      </w:pPr>
      <w:r w:rsidRPr="000A4A0C">
        <w:rPr>
          <w:b w:val="0"/>
          <w:color w:val="auto"/>
          <w:sz w:val="22"/>
          <w:szCs w:val="22"/>
        </w:rPr>
        <w:lastRenderedPageBreak/>
        <w:t xml:space="preserve">Gráfico </w:t>
      </w:r>
      <w:r w:rsidRPr="000A4A0C">
        <w:rPr>
          <w:b w:val="0"/>
          <w:color w:val="auto"/>
          <w:sz w:val="22"/>
          <w:szCs w:val="22"/>
        </w:rPr>
        <w:fldChar w:fldCharType="begin"/>
      </w:r>
      <w:r w:rsidRPr="000A4A0C">
        <w:rPr>
          <w:b w:val="0"/>
          <w:color w:val="auto"/>
          <w:sz w:val="22"/>
          <w:szCs w:val="22"/>
        </w:rPr>
        <w:instrText xml:space="preserve"> SEQ Gráfico \* ARABIC </w:instrText>
      </w:r>
      <w:r w:rsidRPr="000A4A0C">
        <w:rPr>
          <w:b w:val="0"/>
          <w:color w:val="auto"/>
          <w:sz w:val="22"/>
          <w:szCs w:val="22"/>
        </w:rPr>
        <w:fldChar w:fldCharType="separate"/>
      </w:r>
      <w:r w:rsidR="009F4DE1">
        <w:rPr>
          <w:b w:val="0"/>
          <w:noProof/>
          <w:color w:val="auto"/>
          <w:sz w:val="22"/>
          <w:szCs w:val="22"/>
        </w:rPr>
        <w:t>1</w:t>
      </w:r>
      <w:r w:rsidRPr="000A4A0C">
        <w:rPr>
          <w:b w:val="0"/>
          <w:color w:val="auto"/>
          <w:sz w:val="22"/>
          <w:szCs w:val="22"/>
        </w:rPr>
        <w:fldChar w:fldCharType="end"/>
      </w:r>
      <w:r w:rsidRPr="000A4A0C">
        <w:rPr>
          <w:b w:val="0"/>
          <w:color w:val="auto"/>
          <w:sz w:val="22"/>
          <w:szCs w:val="22"/>
        </w:rPr>
        <w:t>: Taxas de Informalidade e Formalidade – Brasil e Pará</w:t>
      </w:r>
      <w:r>
        <w:rPr>
          <w:b w:val="0"/>
          <w:color w:val="auto"/>
          <w:sz w:val="22"/>
          <w:szCs w:val="22"/>
        </w:rPr>
        <w:t xml:space="preserve">, 1993 a </w:t>
      </w:r>
      <w:proofErr w:type="gramStart"/>
      <w:r>
        <w:rPr>
          <w:b w:val="0"/>
          <w:color w:val="auto"/>
          <w:sz w:val="22"/>
          <w:szCs w:val="22"/>
        </w:rPr>
        <w:t>2014</w:t>
      </w:r>
      <w:proofErr w:type="gramEnd"/>
    </w:p>
    <w:p w14:paraId="57F269E4" w14:textId="4C17C97B" w:rsidR="000A4A0C" w:rsidRDefault="000A4A0C" w:rsidP="000A4A0C">
      <w:pPr>
        <w:jc w:val="center"/>
      </w:pPr>
      <w:r>
        <w:rPr>
          <w:noProof/>
          <w:lang w:eastAsia="pt-BR"/>
        </w:rPr>
        <w:drawing>
          <wp:inline distT="0" distB="0" distL="0" distR="0" wp14:anchorId="479956AA" wp14:editId="2C62FC26">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65D90B" w14:textId="1647E28B" w:rsidR="007F23E9" w:rsidRPr="000A4A0C" w:rsidRDefault="007F23E9" w:rsidP="000A4A0C">
      <w:pPr>
        <w:ind w:left="709"/>
        <w:jc w:val="both"/>
        <w:rPr>
          <w:sz w:val="20"/>
          <w:szCs w:val="20"/>
        </w:rPr>
      </w:pPr>
      <w:r>
        <w:rPr>
          <w:sz w:val="20"/>
          <w:szCs w:val="20"/>
        </w:rPr>
        <w:t>Fonte: Elaborado pelas autoras a partir de dados da PNAD/</w:t>
      </w:r>
      <w:r w:rsidR="000A4A0C">
        <w:rPr>
          <w:sz w:val="20"/>
          <w:szCs w:val="20"/>
        </w:rPr>
        <w:t>SIDRA-</w:t>
      </w:r>
      <w:r>
        <w:rPr>
          <w:sz w:val="20"/>
          <w:szCs w:val="20"/>
        </w:rPr>
        <w:t>IBGE.</w:t>
      </w:r>
    </w:p>
    <w:p w14:paraId="334466AB" w14:textId="77777777" w:rsidR="007F23E9" w:rsidRDefault="007F23E9" w:rsidP="007F23E9">
      <w:pPr>
        <w:spacing w:line="360" w:lineRule="auto"/>
        <w:ind w:firstLine="709"/>
        <w:jc w:val="both"/>
      </w:pPr>
    </w:p>
    <w:p w14:paraId="778D6A71" w14:textId="7AF8866A" w:rsidR="00D91EE9" w:rsidRDefault="007F23E9" w:rsidP="007F23E9">
      <w:pPr>
        <w:spacing w:line="360" w:lineRule="auto"/>
        <w:ind w:firstLine="709"/>
        <w:jc w:val="both"/>
      </w:pPr>
      <w:r>
        <w:t>No</w:t>
      </w:r>
      <w:r w:rsidR="007A1FF0">
        <w:t>s</w:t>
      </w:r>
      <w:r>
        <w:t xml:space="preserve"> Gráfico</w:t>
      </w:r>
      <w:r w:rsidR="007A1FF0">
        <w:t>s</w:t>
      </w:r>
      <w:r>
        <w:t xml:space="preserve"> </w:t>
      </w:r>
      <w:proofErr w:type="gramStart"/>
      <w:r>
        <w:t>2</w:t>
      </w:r>
      <w:proofErr w:type="gramEnd"/>
      <w:r w:rsidR="007A1FF0">
        <w:t xml:space="preserve"> e 3</w:t>
      </w:r>
      <w:r w:rsidR="00F10FE5">
        <w:t xml:space="preserve"> são apresentadas</w:t>
      </w:r>
      <w:r>
        <w:t xml:space="preserve"> as taxas de informalida</w:t>
      </w:r>
      <w:r w:rsidR="00235E57">
        <w:t>de e formalidade por sexo para</w:t>
      </w:r>
      <w:r>
        <w:t xml:space="preserve"> Brasil e Pará. No </w:t>
      </w:r>
      <w:r w:rsidR="003700B5">
        <w:t xml:space="preserve">Gráfico </w:t>
      </w:r>
      <w:proofErr w:type="gramStart"/>
      <w:r w:rsidR="003700B5">
        <w:t>2</w:t>
      </w:r>
      <w:proofErr w:type="gramEnd"/>
      <w:r w:rsidR="003700B5">
        <w:t>,</w:t>
      </w:r>
      <w:r>
        <w:t xml:space="preserve"> </w:t>
      </w:r>
      <w:r w:rsidR="003700B5">
        <w:t xml:space="preserve">podemos notar que, </w:t>
      </w:r>
      <w:r>
        <w:t xml:space="preserve">nos </w:t>
      </w:r>
      <w:r w:rsidR="003700B5">
        <w:t xml:space="preserve">anos de 2001 e 2006, </w:t>
      </w:r>
      <w:r w:rsidR="00DF7430">
        <w:t>o percentual</w:t>
      </w:r>
      <w:r>
        <w:t xml:space="preserve"> </w:t>
      </w:r>
      <w:r w:rsidR="006F58E9">
        <w:t xml:space="preserve">de </w:t>
      </w:r>
      <w:r>
        <w:t>mulheres no mercado de trabalho informal</w:t>
      </w:r>
      <w:r w:rsidR="003700B5">
        <w:t xml:space="preserve"> brasileiro</w:t>
      </w:r>
      <w:r>
        <w:t xml:space="preserve"> era maior que o </w:t>
      </w:r>
      <w:r w:rsidR="006F58E9">
        <w:t>percentual</w:t>
      </w:r>
      <w:r>
        <w:t xml:space="preserve"> de trabalhadores do sexo masculino. A partir de 2011, porém, </w:t>
      </w:r>
      <w:r w:rsidR="003700B5">
        <w:t>o grau de informalidade para ambos os sexos se iguala</w:t>
      </w:r>
      <w:r>
        <w:t xml:space="preserve"> e</w:t>
      </w:r>
      <w:r w:rsidR="003700B5">
        <w:t>,</w:t>
      </w:r>
      <w:r>
        <w:t xml:space="preserve"> em 2014</w:t>
      </w:r>
      <w:r w:rsidR="003700B5">
        <w:t>,</w:t>
      </w:r>
      <w:r>
        <w:t xml:space="preserve"> verifica-se que o número de mulheres no mercado de trabalhado formal cresceu</w:t>
      </w:r>
      <w:r w:rsidR="003700B5">
        <w:t>, configurando um crescimento de</w:t>
      </w:r>
      <w:r>
        <w:t xml:space="preserve"> 12 pontos percentuais </w:t>
      </w:r>
      <w:r w:rsidR="003700B5">
        <w:t>(</w:t>
      </w:r>
      <w:proofErr w:type="spellStart"/>
      <w:r w:rsidR="003700B5">
        <w:t>p.p</w:t>
      </w:r>
      <w:proofErr w:type="spellEnd"/>
      <w:r w:rsidR="003700B5">
        <w:t>.) desde o início da série</w:t>
      </w:r>
      <w:r>
        <w:t>.</w:t>
      </w:r>
      <w:r w:rsidR="0084238C">
        <w:t xml:space="preserve"> </w:t>
      </w:r>
    </w:p>
    <w:p w14:paraId="3E81A167" w14:textId="77777777" w:rsidR="00D91EE9" w:rsidRDefault="00D91EE9" w:rsidP="00D91EE9">
      <w:pPr>
        <w:spacing w:line="360" w:lineRule="auto"/>
        <w:jc w:val="both"/>
      </w:pPr>
    </w:p>
    <w:p w14:paraId="6DFCB9B5" w14:textId="52962675" w:rsidR="00D91EE9" w:rsidRPr="00D91EE9" w:rsidRDefault="00D91EE9" w:rsidP="00D91EE9">
      <w:pPr>
        <w:pStyle w:val="Legenda"/>
        <w:keepNext/>
        <w:spacing w:after="0"/>
        <w:jc w:val="center"/>
        <w:rPr>
          <w:b w:val="0"/>
          <w:color w:val="auto"/>
          <w:sz w:val="22"/>
          <w:szCs w:val="22"/>
        </w:rPr>
      </w:pPr>
      <w:r w:rsidRPr="00D91EE9">
        <w:rPr>
          <w:b w:val="0"/>
          <w:color w:val="auto"/>
          <w:sz w:val="22"/>
          <w:szCs w:val="22"/>
        </w:rPr>
        <w:t xml:space="preserve">Gráfico </w:t>
      </w:r>
      <w:r w:rsidRPr="00D91EE9">
        <w:rPr>
          <w:b w:val="0"/>
          <w:color w:val="auto"/>
          <w:sz w:val="22"/>
          <w:szCs w:val="22"/>
        </w:rPr>
        <w:fldChar w:fldCharType="begin"/>
      </w:r>
      <w:r w:rsidRPr="00D91EE9">
        <w:rPr>
          <w:b w:val="0"/>
          <w:color w:val="auto"/>
          <w:sz w:val="22"/>
          <w:szCs w:val="22"/>
        </w:rPr>
        <w:instrText xml:space="preserve"> SEQ Gráfico \* ARABIC </w:instrText>
      </w:r>
      <w:r w:rsidRPr="00D91EE9">
        <w:rPr>
          <w:b w:val="0"/>
          <w:color w:val="auto"/>
          <w:sz w:val="22"/>
          <w:szCs w:val="22"/>
        </w:rPr>
        <w:fldChar w:fldCharType="separate"/>
      </w:r>
      <w:r w:rsidR="009F4DE1">
        <w:rPr>
          <w:b w:val="0"/>
          <w:noProof/>
          <w:color w:val="auto"/>
          <w:sz w:val="22"/>
          <w:szCs w:val="22"/>
        </w:rPr>
        <w:t>2</w:t>
      </w:r>
      <w:r w:rsidRPr="00D91EE9">
        <w:rPr>
          <w:b w:val="0"/>
          <w:color w:val="auto"/>
          <w:sz w:val="22"/>
          <w:szCs w:val="22"/>
        </w:rPr>
        <w:fldChar w:fldCharType="end"/>
      </w:r>
      <w:r w:rsidRPr="00D91EE9">
        <w:rPr>
          <w:b w:val="0"/>
          <w:color w:val="auto"/>
          <w:sz w:val="22"/>
          <w:szCs w:val="22"/>
        </w:rPr>
        <w:t>: Taxas de</w:t>
      </w:r>
      <w:r w:rsidR="00796F76">
        <w:rPr>
          <w:b w:val="0"/>
          <w:color w:val="auto"/>
          <w:sz w:val="22"/>
          <w:szCs w:val="22"/>
        </w:rPr>
        <w:t xml:space="preserve"> Informalidade e Formalidade segundo o</w:t>
      </w:r>
      <w:r w:rsidR="00F10FE5">
        <w:rPr>
          <w:b w:val="0"/>
          <w:color w:val="auto"/>
          <w:sz w:val="22"/>
          <w:szCs w:val="22"/>
        </w:rPr>
        <w:t xml:space="preserve"> Sexo – Brasil</w:t>
      </w:r>
      <w:r w:rsidRPr="00D91EE9">
        <w:rPr>
          <w:b w:val="0"/>
          <w:color w:val="auto"/>
          <w:sz w:val="22"/>
          <w:szCs w:val="22"/>
        </w:rPr>
        <w:t>, 2001-2014</w:t>
      </w:r>
      <w:r>
        <w:rPr>
          <w:b w:val="0"/>
          <w:color w:val="auto"/>
          <w:sz w:val="22"/>
          <w:szCs w:val="22"/>
        </w:rPr>
        <w:t>.</w:t>
      </w:r>
    </w:p>
    <w:p w14:paraId="622388A2" w14:textId="3FED7662" w:rsidR="007F23E9" w:rsidRDefault="00D91EE9" w:rsidP="00796F76">
      <w:pPr>
        <w:jc w:val="center"/>
      </w:pPr>
      <w:r>
        <w:rPr>
          <w:noProof/>
          <w:lang w:eastAsia="pt-BR"/>
        </w:rPr>
        <w:drawing>
          <wp:inline distT="0" distB="0" distL="0" distR="0" wp14:anchorId="5F2D3653" wp14:editId="6C7002BD">
            <wp:extent cx="4555331" cy="2405063"/>
            <wp:effectExtent l="0" t="0" r="17145" b="146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E1CB65" w14:textId="77777777" w:rsidR="004F2911" w:rsidRPr="000A4A0C" w:rsidRDefault="004F2911" w:rsidP="004F2911">
      <w:pPr>
        <w:ind w:left="709"/>
        <w:jc w:val="both"/>
        <w:rPr>
          <w:sz w:val="20"/>
          <w:szCs w:val="20"/>
        </w:rPr>
      </w:pPr>
      <w:r>
        <w:rPr>
          <w:sz w:val="20"/>
          <w:szCs w:val="20"/>
        </w:rPr>
        <w:t>Fonte: Elaborado pelas autoras a partir de dados da PNAD/SIDRA-IBGE.</w:t>
      </w:r>
    </w:p>
    <w:p w14:paraId="3CF6AAA8" w14:textId="77777777" w:rsidR="00796F76" w:rsidRDefault="00796F76" w:rsidP="009F6A7C">
      <w:pPr>
        <w:spacing w:line="360" w:lineRule="auto"/>
        <w:jc w:val="both"/>
      </w:pPr>
    </w:p>
    <w:p w14:paraId="36E07E9A" w14:textId="2A2CE68A" w:rsidR="009F6A7C" w:rsidRDefault="00A06426" w:rsidP="009F6A7C">
      <w:pPr>
        <w:spacing w:line="360" w:lineRule="auto"/>
        <w:ind w:firstLine="709"/>
        <w:jc w:val="both"/>
      </w:pPr>
      <w:r>
        <w:t>A situação no</w:t>
      </w:r>
      <w:r w:rsidR="009F6A7C">
        <w:t xml:space="preserve"> estado do Pará é diferente</w:t>
      </w:r>
      <w:r>
        <w:t xml:space="preserve">, como mostra o Gráfico </w:t>
      </w:r>
      <w:proofErr w:type="gramStart"/>
      <w:r>
        <w:t>3</w:t>
      </w:r>
      <w:proofErr w:type="gramEnd"/>
      <w:r w:rsidR="009F6A7C">
        <w:t xml:space="preserve">, pois as taxas de trabalhadores e trabalhadoras informais permanecem maiores do que as taxas </w:t>
      </w:r>
      <w:r w:rsidR="009F6A7C">
        <w:lastRenderedPageBreak/>
        <w:t>observadas no Brasil (</w:t>
      </w:r>
      <w:r w:rsidR="006F58E9">
        <w:t>ver também</w:t>
      </w:r>
      <w:r w:rsidR="009F6A7C">
        <w:t xml:space="preserve"> </w:t>
      </w:r>
      <w:r w:rsidR="0057079D">
        <w:t>G</w:t>
      </w:r>
      <w:r w:rsidR="009F6A7C">
        <w:t xml:space="preserve">ráfico 1). Em 2014, nota-se que 64,54% das mulheres e 65,65% dos homens estão inseridos </w:t>
      </w:r>
      <w:r w:rsidR="00BE477A">
        <w:t>em ocupações informais no mercado de trabalho</w:t>
      </w:r>
      <w:r w:rsidR="009F6A7C">
        <w:t xml:space="preserve">, número bem distante da </w:t>
      </w:r>
      <w:r w:rsidR="006A2C27">
        <w:t>realidade brasileira. Apesar d</w:t>
      </w:r>
      <w:r w:rsidR="009F6A7C">
        <w:t>a tax</w:t>
      </w:r>
      <w:r w:rsidR="006A2C27">
        <w:t>a de informalidade ter declina</w:t>
      </w:r>
      <w:r w:rsidR="009F6A7C">
        <w:t>do</w:t>
      </w:r>
      <w:r w:rsidR="006A2C27">
        <w:t xml:space="preserve"> ao longo do período</w:t>
      </w:r>
      <w:r w:rsidR="00966229">
        <w:t>, sobretudo, por um processo de formalização da força de trabalho feminina, a taxa ainda é elevada no mercado de trabalho estadual</w:t>
      </w:r>
      <w:r w:rsidR="009F6A7C">
        <w:t>, revelando que gra</w:t>
      </w:r>
      <w:r w:rsidR="00966229">
        <w:t>nde parcela</w:t>
      </w:r>
      <w:r w:rsidR="00185010">
        <w:t xml:space="preserve"> dos trabalhadores está desprovida</w:t>
      </w:r>
      <w:r w:rsidR="009F6A7C">
        <w:t xml:space="preserve"> de direitos trabalhistas básicos.</w:t>
      </w:r>
    </w:p>
    <w:p w14:paraId="3D45B93F" w14:textId="77777777" w:rsidR="009F6A7C" w:rsidRDefault="009F6A7C" w:rsidP="009F6A7C">
      <w:pPr>
        <w:spacing w:line="360" w:lineRule="auto"/>
        <w:jc w:val="both"/>
      </w:pPr>
    </w:p>
    <w:p w14:paraId="4319E338" w14:textId="77777777" w:rsidR="00F10FE5" w:rsidRPr="00D91EE9" w:rsidRDefault="00F10FE5" w:rsidP="00F10FE5">
      <w:pPr>
        <w:pStyle w:val="Legenda"/>
        <w:keepNext/>
        <w:spacing w:after="0"/>
        <w:jc w:val="center"/>
        <w:rPr>
          <w:b w:val="0"/>
          <w:color w:val="auto"/>
          <w:sz w:val="22"/>
          <w:szCs w:val="22"/>
        </w:rPr>
      </w:pPr>
      <w:r w:rsidRPr="00F10FE5">
        <w:rPr>
          <w:b w:val="0"/>
          <w:color w:val="auto"/>
          <w:sz w:val="22"/>
          <w:szCs w:val="22"/>
        </w:rPr>
        <w:t xml:space="preserve">Gráfico </w:t>
      </w:r>
      <w:r w:rsidRPr="00F10FE5">
        <w:rPr>
          <w:b w:val="0"/>
          <w:color w:val="auto"/>
          <w:sz w:val="22"/>
          <w:szCs w:val="22"/>
        </w:rPr>
        <w:fldChar w:fldCharType="begin"/>
      </w:r>
      <w:r w:rsidRPr="00F10FE5">
        <w:rPr>
          <w:b w:val="0"/>
          <w:color w:val="auto"/>
          <w:sz w:val="22"/>
          <w:szCs w:val="22"/>
        </w:rPr>
        <w:instrText xml:space="preserve"> SEQ Gráfico \* ARABIC </w:instrText>
      </w:r>
      <w:r w:rsidRPr="00F10FE5">
        <w:rPr>
          <w:b w:val="0"/>
          <w:color w:val="auto"/>
          <w:sz w:val="22"/>
          <w:szCs w:val="22"/>
        </w:rPr>
        <w:fldChar w:fldCharType="separate"/>
      </w:r>
      <w:r w:rsidR="009F4DE1">
        <w:rPr>
          <w:b w:val="0"/>
          <w:noProof/>
          <w:color w:val="auto"/>
          <w:sz w:val="22"/>
          <w:szCs w:val="22"/>
        </w:rPr>
        <w:t>3</w:t>
      </w:r>
      <w:r w:rsidRPr="00F10FE5">
        <w:rPr>
          <w:b w:val="0"/>
          <w:color w:val="auto"/>
          <w:sz w:val="22"/>
          <w:szCs w:val="22"/>
        </w:rPr>
        <w:fldChar w:fldCharType="end"/>
      </w:r>
      <w:r w:rsidRPr="00F10FE5">
        <w:rPr>
          <w:b w:val="0"/>
          <w:color w:val="auto"/>
          <w:sz w:val="22"/>
          <w:szCs w:val="22"/>
        </w:rPr>
        <w:t xml:space="preserve">: </w:t>
      </w:r>
      <w:r w:rsidRPr="00D91EE9">
        <w:rPr>
          <w:b w:val="0"/>
          <w:color w:val="auto"/>
          <w:sz w:val="22"/>
          <w:szCs w:val="22"/>
        </w:rPr>
        <w:t>Taxas de</w:t>
      </w:r>
      <w:r>
        <w:rPr>
          <w:b w:val="0"/>
          <w:color w:val="auto"/>
          <w:sz w:val="22"/>
          <w:szCs w:val="22"/>
        </w:rPr>
        <w:t xml:space="preserve"> Informalidade e Formalidade segundo o</w:t>
      </w:r>
      <w:r w:rsidRPr="00D91EE9">
        <w:rPr>
          <w:b w:val="0"/>
          <w:color w:val="auto"/>
          <w:sz w:val="22"/>
          <w:szCs w:val="22"/>
        </w:rPr>
        <w:t xml:space="preserve"> Sexo – Brasil e Pará, 2001-2014</w:t>
      </w:r>
      <w:r>
        <w:rPr>
          <w:b w:val="0"/>
          <w:color w:val="auto"/>
          <w:sz w:val="22"/>
          <w:szCs w:val="22"/>
        </w:rPr>
        <w:t>.</w:t>
      </w:r>
    </w:p>
    <w:p w14:paraId="083D98E1" w14:textId="49CEED14" w:rsidR="007F23E9" w:rsidRDefault="00F10FE5" w:rsidP="00F10FE5">
      <w:pPr>
        <w:jc w:val="center"/>
        <w:rPr>
          <w:sz w:val="20"/>
          <w:szCs w:val="20"/>
        </w:rPr>
      </w:pPr>
      <w:r>
        <w:rPr>
          <w:noProof/>
          <w:lang w:eastAsia="pt-BR"/>
        </w:rPr>
        <w:drawing>
          <wp:inline distT="0" distB="0" distL="0" distR="0" wp14:anchorId="2269F3FB" wp14:editId="2025EAB3">
            <wp:extent cx="4555331" cy="2405063"/>
            <wp:effectExtent l="0" t="0" r="17145"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44B4DC" w14:textId="77777777" w:rsidR="004F2911" w:rsidRPr="000A4A0C" w:rsidRDefault="004F2911" w:rsidP="004F2911">
      <w:pPr>
        <w:ind w:left="709"/>
        <w:jc w:val="both"/>
        <w:rPr>
          <w:sz w:val="20"/>
          <w:szCs w:val="20"/>
        </w:rPr>
      </w:pPr>
      <w:r>
        <w:rPr>
          <w:sz w:val="20"/>
          <w:szCs w:val="20"/>
        </w:rPr>
        <w:t>Fonte: Elaborado pelas autoras a partir de dados da PNAD/SIDRA-IBGE.</w:t>
      </w:r>
    </w:p>
    <w:p w14:paraId="30C7EEE1" w14:textId="77777777" w:rsidR="00AB66ED" w:rsidRPr="0026200E" w:rsidRDefault="00AB66ED" w:rsidP="0026200E">
      <w:pPr>
        <w:spacing w:line="360" w:lineRule="auto"/>
        <w:jc w:val="both"/>
      </w:pPr>
    </w:p>
    <w:p w14:paraId="67A3D214" w14:textId="77777777" w:rsidR="00293C65" w:rsidRDefault="00961B28" w:rsidP="00D47DD5">
      <w:pPr>
        <w:spacing w:line="360" w:lineRule="auto"/>
        <w:ind w:firstLine="709"/>
        <w:jc w:val="both"/>
      </w:pPr>
      <w:r>
        <w:t>A Tabela 1</w:t>
      </w:r>
      <w:r w:rsidR="00C36BD5">
        <w:t>, por sua vez,</w:t>
      </w:r>
      <w:r>
        <w:t xml:space="preserve"> traz informações sobre</w:t>
      </w:r>
      <w:r w:rsidR="007F23E9">
        <w:t xml:space="preserve"> a distribuição dos trabalhadores com carteira e sem carteira assinada em setores da economia. No Brasil</w:t>
      </w:r>
      <w:r w:rsidR="00D47DD5">
        <w:t>,</w:t>
      </w:r>
      <w:r w:rsidR="007F23E9">
        <w:t xml:space="preserve"> </w:t>
      </w:r>
      <w:proofErr w:type="gramStart"/>
      <w:r w:rsidR="007F23E9">
        <w:t>o</w:t>
      </w:r>
      <w:r w:rsidR="00D47DD5">
        <w:t>s</w:t>
      </w:r>
      <w:r w:rsidR="007F23E9">
        <w:t xml:space="preserve"> setor</w:t>
      </w:r>
      <w:r w:rsidR="00D47DD5">
        <w:t>es industrial</w:t>
      </w:r>
      <w:proofErr w:type="gramEnd"/>
      <w:r w:rsidR="00D47DD5">
        <w:t xml:space="preserve"> e</w:t>
      </w:r>
      <w:r w:rsidR="007F23E9">
        <w:t xml:space="preserve"> serviços são os que mais absorvem mão de obra, sendo que a maior parte dos trabalhadores com carteira assinada estão empregados na indústria s</w:t>
      </w:r>
      <w:r w:rsidR="00754504">
        <w:t>eguido pel</w:t>
      </w:r>
      <w:r w:rsidR="007F23E9">
        <w:t xml:space="preserve">o setor de serviços, e o setor que mais agrega trabalhadores sem carteira assinada é o de serviços seguido </w:t>
      </w:r>
      <w:r w:rsidR="00D47DD5">
        <w:t>pel</w:t>
      </w:r>
      <w:r w:rsidR="007F23E9">
        <w:t>o industrial, exceto em 2002</w:t>
      </w:r>
      <w:r w:rsidR="00D47DD5">
        <w:t>,</w:t>
      </w:r>
      <w:r w:rsidR="007F23E9">
        <w:t xml:space="preserve"> quando a indústria agregou mais trabalhadores sem carteira assinada – 23% e o setor de serviços 21,5%. </w:t>
      </w:r>
      <w:r w:rsidR="00D47DD5">
        <w:t>No Pará</w:t>
      </w:r>
      <w:r w:rsidR="00142ABF">
        <w:t>,</w:t>
      </w:r>
      <w:r w:rsidR="00D47DD5">
        <w:t xml:space="preserve"> o setor que mais agrega trabalhadores com carteira assinada também é a indústria, sendo que o segundo é o setor c</w:t>
      </w:r>
      <w:r w:rsidR="00142ABF">
        <w:t>omércio e o terceiro é serviços.</w:t>
      </w:r>
      <w:r w:rsidR="00D47DD5">
        <w:t xml:space="preserve"> </w:t>
      </w:r>
    </w:p>
    <w:p w14:paraId="661F6777" w14:textId="12BF47F9" w:rsidR="00D47DD5" w:rsidRDefault="00142ABF" w:rsidP="00D47DD5">
      <w:pPr>
        <w:spacing w:line="360" w:lineRule="auto"/>
        <w:ind w:firstLine="709"/>
        <w:jc w:val="both"/>
      </w:pPr>
      <w:r>
        <w:t>E</w:t>
      </w:r>
      <w:r w:rsidR="00D47DD5">
        <w:t>m relação aos trabalhadores sem carteira assinada, em 2002 e 2006</w:t>
      </w:r>
      <w:r w:rsidR="00754504">
        <w:t>,</w:t>
      </w:r>
      <w:r w:rsidR="00D47DD5">
        <w:t xml:space="preserve"> os mesmos encontravam-se mais concentrados no setor industrial e</w:t>
      </w:r>
      <w:r>
        <w:t>,</w:t>
      </w:r>
      <w:r w:rsidR="00D47DD5">
        <w:t xml:space="preserve"> em 2011 e 2014</w:t>
      </w:r>
      <w:r>
        <w:t>,</w:t>
      </w:r>
      <w:r w:rsidR="00D47DD5">
        <w:t xml:space="preserve"> no setor serviços.</w:t>
      </w:r>
      <w:r w:rsidR="00754504">
        <w:t xml:space="preserve"> Estes dados tornam patente que, embora a indústria siga sendo </w:t>
      </w:r>
      <w:proofErr w:type="gramStart"/>
      <w:r w:rsidR="00754504">
        <w:t xml:space="preserve">o setor que mais emprega trabalhadores celetistas, </w:t>
      </w:r>
      <w:r w:rsidR="006911B5">
        <w:t>ela</w:t>
      </w:r>
      <w:proofErr w:type="gramEnd"/>
      <w:r w:rsidR="006911B5">
        <w:t xml:space="preserve"> se encontra</w:t>
      </w:r>
      <w:r w:rsidR="00754504">
        <w:t xml:space="preserve"> entre os setores de atividade</w:t>
      </w:r>
      <w:r w:rsidR="006911B5">
        <w:t xml:space="preserve"> econômica</w:t>
      </w:r>
      <w:r w:rsidR="00754504">
        <w:t xml:space="preserve"> que mais empregam trabalhadores sem carteira comumente caracterizados como informais, o que indica o emprego de mão de obra </w:t>
      </w:r>
      <w:proofErr w:type="spellStart"/>
      <w:r w:rsidR="00754504">
        <w:t>precarizada</w:t>
      </w:r>
      <w:proofErr w:type="spellEnd"/>
      <w:r w:rsidR="00754504">
        <w:t xml:space="preserve"> em segmentos </w:t>
      </w:r>
      <w:r w:rsidR="00754504">
        <w:lastRenderedPageBreak/>
        <w:t>capitalizad</w:t>
      </w:r>
      <w:r w:rsidR="001A2CE5">
        <w:t>os, o que reforça a tese de integração</w:t>
      </w:r>
      <w:r w:rsidR="006911B5">
        <w:t xml:space="preserve"> dialética</w:t>
      </w:r>
      <w:r w:rsidR="001A2CE5">
        <w:t xml:space="preserve"> entre o “formal” e o “informal”</w:t>
      </w:r>
      <w:r w:rsidR="006911B5">
        <w:t>.</w:t>
      </w:r>
    </w:p>
    <w:p w14:paraId="2F5F5B6A" w14:textId="77777777" w:rsidR="007F23E9" w:rsidRDefault="007F23E9" w:rsidP="007F23E9">
      <w:pPr>
        <w:spacing w:line="360" w:lineRule="auto"/>
        <w:jc w:val="both"/>
      </w:pPr>
    </w:p>
    <w:p w14:paraId="7842BA43" w14:textId="5DA209E8" w:rsidR="007F23E9" w:rsidRDefault="007F23E9" w:rsidP="00505C85">
      <w:pPr>
        <w:jc w:val="both"/>
      </w:pPr>
      <w:r>
        <w:t>Tabela 1: Distribuição dos trabalhadores com e sem carteira assinada – Brasil e Pará</w:t>
      </w:r>
      <w:r w:rsidR="00F97B9F">
        <w:t>, 2002-2014.</w:t>
      </w:r>
    </w:p>
    <w:tbl>
      <w:tblPr>
        <w:tblW w:w="4798" w:type="pct"/>
        <w:tblBorders>
          <w:top w:val="single" w:sz="4" w:space="0" w:color="auto"/>
          <w:bottom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551"/>
        <w:gridCol w:w="765"/>
        <w:gridCol w:w="705"/>
        <w:gridCol w:w="727"/>
        <w:gridCol w:w="710"/>
        <w:gridCol w:w="710"/>
        <w:gridCol w:w="710"/>
        <w:gridCol w:w="710"/>
        <w:gridCol w:w="707"/>
      </w:tblGrid>
      <w:tr w:rsidR="00D30A3E" w:rsidRPr="00D30A3E" w14:paraId="139A2503" w14:textId="77777777" w:rsidTr="00DC1B8C">
        <w:trPr>
          <w:trHeight w:val="300"/>
          <w:tblHeader/>
        </w:trPr>
        <w:tc>
          <w:tcPr>
            <w:tcW w:w="1538" w:type="pct"/>
            <w:vMerge w:val="restart"/>
            <w:shd w:val="clear" w:color="auto" w:fill="A6A6A6" w:themeFill="background1" w:themeFillShade="A6"/>
            <w:noWrap/>
            <w:vAlign w:val="center"/>
            <w:hideMark/>
          </w:tcPr>
          <w:p w14:paraId="32F0847E" w14:textId="77777777" w:rsidR="007F23E9" w:rsidRPr="00D30A3E" w:rsidRDefault="007F23E9" w:rsidP="00505C85">
            <w:pPr>
              <w:jc w:val="center"/>
              <w:rPr>
                <w:b/>
                <w:bCs/>
                <w:color w:val="000000"/>
                <w:sz w:val="22"/>
                <w:szCs w:val="22"/>
                <w:lang w:eastAsia="pt-BR"/>
              </w:rPr>
            </w:pPr>
            <w:r w:rsidRPr="00D30A3E">
              <w:rPr>
                <w:b/>
                <w:bCs/>
                <w:color w:val="000000"/>
                <w:sz w:val="22"/>
                <w:szCs w:val="22"/>
                <w:lang w:eastAsia="pt-BR"/>
              </w:rPr>
              <w:t>Setor</w:t>
            </w:r>
          </w:p>
        </w:tc>
        <w:tc>
          <w:tcPr>
            <w:tcW w:w="1752" w:type="pct"/>
            <w:gridSpan w:val="4"/>
            <w:shd w:val="clear" w:color="auto" w:fill="A6A6A6" w:themeFill="background1" w:themeFillShade="A6"/>
            <w:noWrap/>
            <w:vAlign w:val="bottom"/>
            <w:hideMark/>
          </w:tcPr>
          <w:p w14:paraId="50179BD5" w14:textId="77777777" w:rsidR="007F23E9" w:rsidRPr="00D30A3E" w:rsidRDefault="007F23E9" w:rsidP="00505C85">
            <w:pPr>
              <w:jc w:val="center"/>
              <w:rPr>
                <w:color w:val="000000"/>
                <w:sz w:val="22"/>
                <w:szCs w:val="22"/>
                <w:lang w:eastAsia="pt-BR"/>
              </w:rPr>
            </w:pPr>
            <w:r w:rsidRPr="00D30A3E">
              <w:rPr>
                <w:color w:val="000000"/>
                <w:sz w:val="22"/>
                <w:szCs w:val="22"/>
                <w:lang w:eastAsia="pt-BR"/>
              </w:rPr>
              <w:t>Com carteira de trabalho assinada</w:t>
            </w:r>
          </w:p>
        </w:tc>
        <w:tc>
          <w:tcPr>
            <w:tcW w:w="1710" w:type="pct"/>
            <w:gridSpan w:val="4"/>
            <w:shd w:val="clear" w:color="auto" w:fill="A6A6A6" w:themeFill="background1" w:themeFillShade="A6"/>
            <w:noWrap/>
            <w:vAlign w:val="bottom"/>
            <w:hideMark/>
          </w:tcPr>
          <w:p w14:paraId="34C20DDA" w14:textId="77777777" w:rsidR="007F23E9" w:rsidRPr="00D30A3E" w:rsidRDefault="007F23E9" w:rsidP="00505C85">
            <w:pPr>
              <w:jc w:val="center"/>
              <w:rPr>
                <w:color w:val="000000"/>
                <w:sz w:val="22"/>
                <w:szCs w:val="22"/>
                <w:lang w:eastAsia="pt-BR"/>
              </w:rPr>
            </w:pPr>
            <w:r w:rsidRPr="00D30A3E">
              <w:rPr>
                <w:color w:val="000000"/>
                <w:sz w:val="22"/>
                <w:szCs w:val="22"/>
                <w:lang w:eastAsia="pt-BR"/>
              </w:rPr>
              <w:t>Sem carteira de trabalho assinada</w:t>
            </w:r>
          </w:p>
        </w:tc>
      </w:tr>
      <w:tr w:rsidR="00D30A3E" w:rsidRPr="00D30A3E" w14:paraId="37896A62" w14:textId="77777777" w:rsidTr="00DC1B8C">
        <w:trPr>
          <w:trHeight w:val="300"/>
          <w:tblHeader/>
        </w:trPr>
        <w:tc>
          <w:tcPr>
            <w:tcW w:w="1538" w:type="pct"/>
            <w:vMerge/>
            <w:vAlign w:val="center"/>
            <w:hideMark/>
          </w:tcPr>
          <w:p w14:paraId="1B8A9C24" w14:textId="77777777" w:rsidR="007F23E9" w:rsidRPr="00D30A3E" w:rsidRDefault="007F23E9" w:rsidP="00505C85">
            <w:pPr>
              <w:rPr>
                <w:b/>
                <w:bCs/>
                <w:color w:val="000000"/>
                <w:sz w:val="22"/>
                <w:szCs w:val="22"/>
                <w:lang w:eastAsia="pt-BR"/>
              </w:rPr>
            </w:pPr>
          </w:p>
        </w:tc>
        <w:tc>
          <w:tcPr>
            <w:tcW w:w="461" w:type="pct"/>
            <w:shd w:val="clear" w:color="auto" w:fill="A6A6A6" w:themeFill="background1" w:themeFillShade="A6"/>
            <w:noWrap/>
            <w:vAlign w:val="bottom"/>
            <w:hideMark/>
          </w:tcPr>
          <w:p w14:paraId="2F94BF76"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2002</w:t>
            </w:r>
          </w:p>
        </w:tc>
        <w:tc>
          <w:tcPr>
            <w:tcW w:w="425" w:type="pct"/>
            <w:shd w:val="clear" w:color="auto" w:fill="A6A6A6" w:themeFill="background1" w:themeFillShade="A6"/>
            <w:noWrap/>
            <w:vAlign w:val="bottom"/>
            <w:hideMark/>
          </w:tcPr>
          <w:p w14:paraId="7881D60C"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2006</w:t>
            </w:r>
          </w:p>
        </w:tc>
        <w:tc>
          <w:tcPr>
            <w:tcW w:w="438" w:type="pct"/>
            <w:shd w:val="clear" w:color="auto" w:fill="A6A6A6" w:themeFill="background1" w:themeFillShade="A6"/>
            <w:noWrap/>
            <w:vAlign w:val="bottom"/>
            <w:hideMark/>
          </w:tcPr>
          <w:p w14:paraId="27FD95CD"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2011</w:t>
            </w:r>
          </w:p>
        </w:tc>
        <w:tc>
          <w:tcPr>
            <w:tcW w:w="428" w:type="pct"/>
            <w:shd w:val="clear" w:color="auto" w:fill="A6A6A6" w:themeFill="background1" w:themeFillShade="A6"/>
            <w:noWrap/>
            <w:vAlign w:val="bottom"/>
            <w:hideMark/>
          </w:tcPr>
          <w:p w14:paraId="4668B4A9"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2014</w:t>
            </w:r>
          </w:p>
        </w:tc>
        <w:tc>
          <w:tcPr>
            <w:tcW w:w="428" w:type="pct"/>
            <w:shd w:val="clear" w:color="auto" w:fill="A6A6A6" w:themeFill="background1" w:themeFillShade="A6"/>
            <w:noWrap/>
            <w:vAlign w:val="bottom"/>
            <w:hideMark/>
          </w:tcPr>
          <w:p w14:paraId="39E79368"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2002</w:t>
            </w:r>
          </w:p>
        </w:tc>
        <w:tc>
          <w:tcPr>
            <w:tcW w:w="428" w:type="pct"/>
            <w:shd w:val="clear" w:color="auto" w:fill="A6A6A6" w:themeFill="background1" w:themeFillShade="A6"/>
            <w:noWrap/>
            <w:vAlign w:val="bottom"/>
            <w:hideMark/>
          </w:tcPr>
          <w:p w14:paraId="040ED8B9"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2006</w:t>
            </w:r>
          </w:p>
        </w:tc>
        <w:tc>
          <w:tcPr>
            <w:tcW w:w="428" w:type="pct"/>
            <w:shd w:val="clear" w:color="auto" w:fill="A6A6A6" w:themeFill="background1" w:themeFillShade="A6"/>
            <w:noWrap/>
            <w:vAlign w:val="bottom"/>
            <w:hideMark/>
          </w:tcPr>
          <w:p w14:paraId="489CDFD0"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2011</w:t>
            </w:r>
          </w:p>
        </w:tc>
        <w:tc>
          <w:tcPr>
            <w:tcW w:w="426" w:type="pct"/>
            <w:shd w:val="clear" w:color="auto" w:fill="A6A6A6" w:themeFill="background1" w:themeFillShade="A6"/>
            <w:noWrap/>
            <w:vAlign w:val="bottom"/>
            <w:hideMark/>
          </w:tcPr>
          <w:p w14:paraId="454307A7"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2014</w:t>
            </w:r>
          </w:p>
        </w:tc>
      </w:tr>
      <w:tr w:rsidR="00D30A3E" w:rsidRPr="00D30A3E" w14:paraId="4A873219" w14:textId="77777777" w:rsidTr="00DC1B8C">
        <w:trPr>
          <w:trHeight w:val="315"/>
          <w:tblHeader/>
        </w:trPr>
        <w:tc>
          <w:tcPr>
            <w:tcW w:w="1538" w:type="pct"/>
            <w:vMerge/>
            <w:tcBorders>
              <w:bottom w:val="single" w:sz="8" w:space="0" w:color="auto"/>
            </w:tcBorders>
            <w:vAlign w:val="center"/>
            <w:hideMark/>
          </w:tcPr>
          <w:p w14:paraId="2DC30DD7" w14:textId="77777777" w:rsidR="007F23E9" w:rsidRPr="00D30A3E" w:rsidRDefault="007F23E9" w:rsidP="00505C85">
            <w:pPr>
              <w:rPr>
                <w:b/>
                <w:bCs/>
                <w:color w:val="000000"/>
                <w:sz w:val="22"/>
                <w:szCs w:val="22"/>
                <w:lang w:eastAsia="pt-BR"/>
              </w:rPr>
            </w:pPr>
          </w:p>
        </w:tc>
        <w:tc>
          <w:tcPr>
            <w:tcW w:w="3462" w:type="pct"/>
            <w:gridSpan w:val="8"/>
            <w:tcBorders>
              <w:bottom w:val="single" w:sz="8" w:space="0" w:color="auto"/>
            </w:tcBorders>
            <w:shd w:val="clear" w:color="auto" w:fill="A6A6A6" w:themeFill="background1" w:themeFillShade="A6"/>
            <w:noWrap/>
            <w:vAlign w:val="bottom"/>
            <w:hideMark/>
          </w:tcPr>
          <w:p w14:paraId="2EF6BB96" w14:textId="77777777" w:rsidR="007F23E9" w:rsidRPr="00D30A3E" w:rsidRDefault="007F23E9" w:rsidP="00505C85">
            <w:pPr>
              <w:jc w:val="center"/>
              <w:rPr>
                <w:b/>
                <w:bCs/>
                <w:color w:val="000000"/>
                <w:sz w:val="22"/>
                <w:szCs w:val="22"/>
                <w:lang w:eastAsia="pt-BR"/>
              </w:rPr>
            </w:pPr>
            <w:r w:rsidRPr="00D30A3E">
              <w:rPr>
                <w:b/>
                <w:bCs/>
                <w:color w:val="000000"/>
                <w:sz w:val="22"/>
                <w:szCs w:val="22"/>
                <w:lang w:eastAsia="pt-BR"/>
              </w:rPr>
              <w:t>Brasil</w:t>
            </w:r>
          </w:p>
        </w:tc>
      </w:tr>
      <w:tr w:rsidR="00D30A3E" w:rsidRPr="00D30A3E" w14:paraId="18FA5488" w14:textId="77777777" w:rsidTr="00DC1B8C">
        <w:trPr>
          <w:trHeight w:val="300"/>
        </w:trPr>
        <w:tc>
          <w:tcPr>
            <w:tcW w:w="1538" w:type="pct"/>
            <w:tcBorders>
              <w:top w:val="single" w:sz="8" w:space="0" w:color="auto"/>
              <w:bottom w:val="nil"/>
            </w:tcBorders>
            <w:noWrap/>
            <w:vAlign w:val="bottom"/>
            <w:hideMark/>
          </w:tcPr>
          <w:p w14:paraId="3F99C34C" w14:textId="77777777" w:rsidR="007F23E9" w:rsidRPr="00D30A3E" w:rsidRDefault="007F23E9" w:rsidP="00505C85">
            <w:pPr>
              <w:rPr>
                <w:color w:val="000000"/>
                <w:sz w:val="22"/>
                <w:szCs w:val="22"/>
                <w:lang w:eastAsia="pt-BR"/>
              </w:rPr>
            </w:pPr>
            <w:r w:rsidRPr="00D30A3E">
              <w:rPr>
                <w:color w:val="000000"/>
                <w:sz w:val="22"/>
                <w:szCs w:val="22"/>
                <w:lang w:eastAsia="pt-BR"/>
              </w:rPr>
              <w:t>Agrícola</w:t>
            </w:r>
          </w:p>
        </w:tc>
        <w:tc>
          <w:tcPr>
            <w:tcW w:w="461" w:type="pct"/>
            <w:tcBorders>
              <w:top w:val="single" w:sz="8" w:space="0" w:color="auto"/>
              <w:bottom w:val="nil"/>
            </w:tcBorders>
            <w:noWrap/>
            <w:vAlign w:val="bottom"/>
            <w:hideMark/>
          </w:tcPr>
          <w:p w14:paraId="08E608C3" w14:textId="77777777" w:rsidR="007F23E9" w:rsidRPr="00D30A3E" w:rsidRDefault="007F23E9" w:rsidP="00505C85">
            <w:pPr>
              <w:jc w:val="right"/>
              <w:rPr>
                <w:color w:val="000000"/>
                <w:sz w:val="22"/>
                <w:szCs w:val="22"/>
                <w:lang w:eastAsia="pt-BR"/>
              </w:rPr>
            </w:pPr>
            <w:r w:rsidRPr="00D30A3E">
              <w:rPr>
                <w:color w:val="000000"/>
                <w:sz w:val="22"/>
                <w:szCs w:val="22"/>
                <w:lang w:eastAsia="pt-BR"/>
              </w:rPr>
              <w:t>4,53</w:t>
            </w:r>
          </w:p>
        </w:tc>
        <w:tc>
          <w:tcPr>
            <w:tcW w:w="425" w:type="pct"/>
            <w:tcBorders>
              <w:top w:val="single" w:sz="8" w:space="0" w:color="auto"/>
              <w:bottom w:val="nil"/>
            </w:tcBorders>
            <w:noWrap/>
            <w:vAlign w:val="bottom"/>
            <w:hideMark/>
          </w:tcPr>
          <w:p w14:paraId="7BEAE59F" w14:textId="77777777" w:rsidR="007F23E9" w:rsidRPr="00D30A3E" w:rsidRDefault="007F23E9" w:rsidP="00505C85">
            <w:pPr>
              <w:jc w:val="right"/>
              <w:rPr>
                <w:color w:val="000000"/>
                <w:sz w:val="22"/>
                <w:szCs w:val="22"/>
                <w:lang w:eastAsia="pt-BR"/>
              </w:rPr>
            </w:pPr>
            <w:r w:rsidRPr="00D30A3E">
              <w:rPr>
                <w:color w:val="000000"/>
                <w:sz w:val="22"/>
                <w:szCs w:val="22"/>
                <w:lang w:eastAsia="pt-BR"/>
              </w:rPr>
              <w:t>4,51</w:t>
            </w:r>
          </w:p>
        </w:tc>
        <w:tc>
          <w:tcPr>
            <w:tcW w:w="438" w:type="pct"/>
            <w:tcBorders>
              <w:top w:val="single" w:sz="8" w:space="0" w:color="auto"/>
              <w:bottom w:val="nil"/>
            </w:tcBorders>
            <w:noWrap/>
            <w:vAlign w:val="bottom"/>
            <w:hideMark/>
          </w:tcPr>
          <w:p w14:paraId="7D77FB38" w14:textId="77777777" w:rsidR="007F23E9" w:rsidRPr="00D30A3E" w:rsidRDefault="007F23E9" w:rsidP="00505C85">
            <w:pPr>
              <w:jc w:val="right"/>
              <w:rPr>
                <w:color w:val="000000"/>
                <w:sz w:val="22"/>
                <w:szCs w:val="22"/>
                <w:lang w:eastAsia="pt-BR"/>
              </w:rPr>
            </w:pPr>
            <w:r w:rsidRPr="00D30A3E">
              <w:rPr>
                <w:color w:val="000000"/>
                <w:sz w:val="22"/>
                <w:szCs w:val="22"/>
                <w:lang w:eastAsia="pt-BR"/>
              </w:rPr>
              <w:t>3,76</w:t>
            </w:r>
          </w:p>
        </w:tc>
        <w:tc>
          <w:tcPr>
            <w:tcW w:w="428" w:type="pct"/>
            <w:tcBorders>
              <w:top w:val="single" w:sz="8" w:space="0" w:color="auto"/>
              <w:bottom w:val="nil"/>
            </w:tcBorders>
            <w:noWrap/>
            <w:vAlign w:val="bottom"/>
            <w:hideMark/>
          </w:tcPr>
          <w:p w14:paraId="7EED9A49" w14:textId="77777777" w:rsidR="007F23E9" w:rsidRPr="00D30A3E" w:rsidRDefault="007F23E9" w:rsidP="00505C85">
            <w:pPr>
              <w:jc w:val="right"/>
              <w:rPr>
                <w:color w:val="000000"/>
                <w:sz w:val="22"/>
                <w:szCs w:val="22"/>
                <w:lang w:eastAsia="pt-BR"/>
              </w:rPr>
            </w:pPr>
            <w:r w:rsidRPr="00D30A3E">
              <w:rPr>
                <w:color w:val="000000"/>
                <w:sz w:val="22"/>
                <w:szCs w:val="22"/>
                <w:lang w:eastAsia="pt-BR"/>
              </w:rPr>
              <w:t>3,64</w:t>
            </w:r>
          </w:p>
        </w:tc>
        <w:tc>
          <w:tcPr>
            <w:tcW w:w="428" w:type="pct"/>
            <w:tcBorders>
              <w:top w:val="single" w:sz="8" w:space="0" w:color="auto"/>
              <w:bottom w:val="nil"/>
            </w:tcBorders>
            <w:noWrap/>
            <w:vAlign w:val="bottom"/>
            <w:hideMark/>
          </w:tcPr>
          <w:p w14:paraId="7C44E7F7" w14:textId="77777777" w:rsidR="007F23E9" w:rsidRPr="00D30A3E" w:rsidRDefault="007F23E9" w:rsidP="00505C85">
            <w:pPr>
              <w:jc w:val="right"/>
              <w:rPr>
                <w:color w:val="000000"/>
                <w:sz w:val="22"/>
                <w:szCs w:val="22"/>
                <w:lang w:eastAsia="pt-BR"/>
              </w:rPr>
            </w:pPr>
            <w:r w:rsidRPr="00D30A3E">
              <w:rPr>
                <w:color w:val="000000"/>
                <w:sz w:val="22"/>
                <w:szCs w:val="22"/>
                <w:lang w:eastAsia="pt-BR"/>
              </w:rPr>
              <w:t>19,10</w:t>
            </w:r>
          </w:p>
        </w:tc>
        <w:tc>
          <w:tcPr>
            <w:tcW w:w="428" w:type="pct"/>
            <w:tcBorders>
              <w:top w:val="single" w:sz="8" w:space="0" w:color="auto"/>
              <w:bottom w:val="nil"/>
            </w:tcBorders>
            <w:noWrap/>
            <w:vAlign w:val="bottom"/>
            <w:hideMark/>
          </w:tcPr>
          <w:p w14:paraId="7A83DBE6" w14:textId="77777777" w:rsidR="007F23E9" w:rsidRPr="00D30A3E" w:rsidRDefault="007F23E9" w:rsidP="00505C85">
            <w:pPr>
              <w:jc w:val="right"/>
              <w:rPr>
                <w:color w:val="000000"/>
                <w:sz w:val="22"/>
                <w:szCs w:val="22"/>
                <w:lang w:eastAsia="pt-BR"/>
              </w:rPr>
            </w:pPr>
            <w:r w:rsidRPr="00D30A3E">
              <w:rPr>
                <w:color w:val="000000"/>
                <w:sz w:val="22"/>
                <w:szCs w:val="22"/>
                <w:lang w:eastAsia="pt-BR"/>
              </w:rPr>
              <w:t>18,17</w:t>
            </w:r>
          </w:p>
        </w:tc>
        <w:tc>
          <w:tcPr>
            <w:tcW w:w="428" w:type="pct"/>
            <w:tcBorders>
              <w:top w:val="single" w:sz="8" w:space="0" w:color="auto"/>
              <w:bottom w:val="nil"/>
            </w:tcBorders>
            <w:noWrap/>
            <w:vAlign w:val="bottom"/>
            <w:hideMark/>
          </w:tcPr>
          <w:p w14:paraId="2F97F96C" w14:textId="77777777" w:rsidR="007F23E9" w:rsidRPr="00D30A3E" w:rsidRDefault="007F23E9" w:rsidP="00505C85">
            <w:pPr>
              <w:jc w:val="right"/>
              <w:rPr>
                <w:color w:val="000000"/>
                <w:sz w:val="22"/>
                <w:szCs w:val="22"/>
                <w:lang w:eastAsia="pt-BR"/>
              </w:rPr>
            </w:pPr>
            <w:r w:rsidRPr="00D30A3E">
              <w:rPr>
                <w:color w:val="000000"/>
                <w:sz w:val="22"/>
                <w:szCs w:val="22"/>
                <w:lang w:eastAsia="pt-BR"/>
              </w:rPr>
              <w:t>16,43</w:t>
            </w:r>
          </w:p>
        </w:tc>
        <w:tc>
          <w:tcPr>
            <w:tcW w:w="426" w:type="pct"/>
            <w:tcBorders>
              <w:top w:val="single" w:sz="8" w:space="0" w:color="auto"/>
              <w:bottom w:val="nil"/>
            </w:tcBorders>
            <w:noWrap/>
            <w:vAlign w:val="bottom"/>
            <w:hideMark/>
          </w:tcPr>
          <w:p w14:paraId="7448693E" w14:textId="77777777" w:rsidR="007F23E9" w:rsidRPr="00D30A3E" w:rsidRDefault="007F23E9" w:rsidP="00505C85">
            <w:pPr>
              <w:jc w:val="right"/>
              <w:rPr>
                <w:color w:val="000000"/>
                <w:sz w:val="22"/>
                <w:szCs w:val="22"/>
                <w:lang w:eastAsia="pt-BR"/>
              </w:rPr>
            </w:pPr>
            <w:r w:rsidRPr="00D30A3E">
              <w:rPr>
                <w:color w:val="000000"/>
                <w:sz w:val="22"/>
                <w:szCs w:val="22"/>
                <w:lang w:eastAsia="pt-BR"/>
              </w:rPr>
              <w:t>14,21</w:t>
            </w:r>
          </w:p>
        </w:tc>
      </w:tr>
      <w:tr w:rsidR="00D30A3E" w:rsidRPr="00D30A3E" w14:paraId="051E370E" w14:textId="77777777" w:rsidTr="00DC1B8C">
        <w:trPr>
          <w:trHeight w:val="300"/>
        </w:trPr>
        <w:tc>
          <w:tcPr>
            <w:tcW w:w="1538" w:type="pct"/>
            <w:tcBorders>
              <w:top w:val="nil"/>
              <w:bottom w:val="nil"/>
            </w:tcBorders>
            <w:shd w:val="clear" w:color="auto" w:fill="D9D9D9"/>
            <w:noWrap/>
            <w:vAlign w:val="bottom"/>
            <w:hideMark/>
          </w:tcPr>
          <w:p w14:paraId="56899330" w14:textId="77777777" w:rsidR="007F23E9" w:rsidRPr="00D30A3E" w:rsidRDefault="007F23E9" w:rsidP="00505C85">
            <w:pPr>
              <w:rPr>
                <w:color w:val="000000"/>
                <w:sz w:val="22"/>
                <w:szCs w:val="22"/>
                <w:lang w:eastAsia="pt-BR"/>
              </w:rPr>
            </w:pPr>
            <w:r w:rsidRPr="00D30A3E">
              <w:rPr>
                <w:color w:val="000000"/>
                <w:sz w:val="22"/>
                <w:szCs w:val="22"/>
                <w:lang w:eastAsia="pt-BR"/>
              </w:rPr>
              <w:t>Indústria</w:t>
            </w:r>
          </w:p>
        </w:tc>
        <w:tc>
          <w:tcPr>
            <w:tcW w:w="461" w:type="pct"/>
            <w:tcBorders>
              <w:top w:val="nil"/>
              <w:bottom w:val="nil"/>
            </w:tcBorders>
            <w:shd w:val="clear" w:color="auto" w:fill="D9D9D9"/>
            <w:noWrap/>
            <w:vAlign w:val="bottom"/>
            <w:hideMark/>
          </w:tcPr>
          <w:p w14:paraId="76E07199" w14:textId="77777777" w:rsidR="007F23E9" w:rsidRPr="00D30A3E" w:rsidRDefault="007F23E9" w:rsidP="00505C85">
            <w:pPr>
              <w:jc w:val="right"/>
              <w:rPr>
                <w:color w:val="000000"/>
                <w:sz w:val="22"/>
                <w:szCs w:val="22"/>
                <w:lang w:eastAsia="pt-BR"/>
              </w:rPr>
            </w:pPr>
            <w:r w:rsidRPr="00D30A3E">
              <w:rPr>
                <w:color w:val="000000"/>
                <w:sz w:val="22"/>
                <w:szCs w:val="22"/>
                <w:lang w:eastAsia="pt-BR"/>
              </w:rPr>
              <w:t>42,33</w:t>
            </w:r>
          </w:p>
        </w:tc>
        <w:tc>
          <w:tcPr>
            <w:tcW w:w="425" w:type="pct"/>
            <w:tcBorders>
              <w:top w:val="nil"/>
              <w:bottom w:val="nil"/>
            </w:tcBorders>
            <w:shd w:val="clear" w:color="auto" w:fill="D9D9D9"/>
            <w:noWrap/>
            <w:vAlign w:val="bottom"/>
            <w:hideMark/>
          </w:tcPr>
          <w:p w14:paraId="1B7300A2" w14:textId="77777777" w:rsidR="007F23E9" w:rsidRPr="00D30A3E" w:rsidRDefault="007F23E9" w:rsidP="00505C85">
            <w:pPr>
              <w:jc w:val="right"/>
              <w:rPr>
                <w:color w:val="000000"/>
                <w:sz w:val="22"/>
                <w:szCs w:val="22"/>
                <w:lang w:eastAsia="pt-BR"/>
              </w:rPr>
            </w:pPr>
            <w:r w:rsidRPr="00D30A3E">
              <w:rPr>
                <w:color w:val="000000"/>
                <w:sz w:val="22"/>
                <w:szCs w:val="22"/>
                <w:lang w:eastAsia="pt-BR"/>
              </w:rPr>
              <w:t>42,41</w:t>
            </w:r>
          </w:p>
        </w:tc>
        <w:tc>
          <w:tcPr>
            <w:tcW w:w="438" w:type="pct"/>
            <w:tcBorders>
              <w:top w:val="nil"/>
              <w:bottom w:val="nil"/>
            </w:tcBorders>
            <w:shd w:val="clear" w:color="auto" w:fill="D9D9D9"/>
            <w:noWrap/>
            <w:vAlign w:val="bottom"/>
            <w:hideMark/>
          </w:tcPr>
          <w:p w14:paraId="25EBF8AE" w14:textId="77777777" w:rsidR="007F23E9" w:rsidRPr="00D30A3E" w:rsidRDefault="007F23E9" w:rsidP="00505C85">
            <w:pPr>
              <w:jc w:val="right"/>
              <w:rPr>
                <w:color w:val="000000"/>
                <w:sz w:val="22"/>
                <w:szCs w:val="22"/>
                <w:lang w:eastAsia="pt-BR"/>
              </w:rPr>
            </w:pPr>
            <w:r w:rsidRPr="00D30A3E">
              <w:rPr>
                <w:color w:val="000000"/>
                <w:sz w:val="22"/>
                <w:szCs w:val="22"/>
                <w:lang w:eastAsia="pt-BR"/>
              </w:rPr>
              <w:t>37,43</w:t>
            </w:r>
          </w:p>
        </w:tc>
        <w:tc>
          <w:tcPr>
            <w:tcW w:w="428" w:type="pct"/>
            <w:tcBorders>
              <w:top w:val="nil"/>
              <w:bottom w:val="nil"/>
            </w:tcBorders>
            <w:shd w:val="clear" w:color="auto" w:fill="D9D9D9"/>
            <w:noWrap/>
            <w:vAlign w:val="bottom"/>
            <w:hideMark/>
          </w:tcPr>
          <w:p w14:paraId="68AFFD08" w14:textId="77777777" w:rsidR="007F23E9" w:rsidRPr="00D30A3E" w:rsidRDefault="007F23E9" w:rsidP="00505C85">
            <w:pPr>
              <w:jc w:val="right"/>
              <w:rPr>
                <w:color w:val="000000"/>
                <w:sz w:val="22"/>
                <w:szCs w:val="22"/>
                <w:lang w:eastAsia="pt-BR"/>
              </w:rPr>
            </w:pPr>
            <w:r w:rsidRPr="00D30A3E">
              <w:rPr>
                <w:color w:val="000000"/>
                <w:sz w:val="22"/>
                <w:szCs w:val="22"/>
                <w:lang w:eastAsia="pt-BR"/>
              </w:rPr>
              <w:t>35,85</w:t>
            </w:r>
          </w:p>
        </w:tc>
        <w:tc>
          <w:tcPr>
            <w:tcW w:w="428" w:type="pct"/>
            <w:tcBorders>
              <w:top w:val="nil"/>
              <w:bottom w:val="nil"/>
            </w:tcBorders>
            <w:shd w:val="clear" w:color="auto" w:fill="D9D9D9"/>
            <w:noWrap/>
            <w:vAlign w:val="bottom"/>
            <w:hideMark/>
          </w:tcPr>
          <w:p w14:paraId="428B033C" w14:textId="77777777" w:rsidR="007F23E9" w:rsidRPr="00D30A3E" w:rsidRDefault="007F23E9" w:rsidP="00505C85">
            <w:pPr>
              <w:jc w:val="right"/>
              <w:rPr>
                <w:color w:val="000000"/>
                <w:sz w:val="22"/>
                <w:szCs w:val="22"/>
                <w:lang w:eastAsia="pt-BR"/>
              </w:rPr>
            </w:pPr>
            <w:r w:rsidRPr="00D30A3E">
              <w:rPr>
                <w:color w:val="000000"/>
                <w:sz w:val="22"/>
                <w:szCs w:val="22"/>
                <w:lang w:eastAsia="pt-BR"/>
              </w:rPr>
              <w:t>23,37</w:t>
            </w:r>
          </w:p>
        </w:tc>
        <w:tc>
          <w:tcPr>
            <w:tcW w:w="428" w:type="pct"/>
            <w:tcBorders>
              <w:top w:val="nil"/>
              <w:bottom w:val="nil"/>
            </w:tcBorders>
            <w:shd w:val="clear" w:color="auto" w:fill="D9D9D9"/>
            <w:noWrap/>
            <w:vAlign w:val="bottom"/>
            <w:hideMark/>
          </w:tcPr>
          <w:p w14:paraId="6A07DAC7" w14:textId="77777777" w:rsidR="007F23E9" w:rsidRPr="00D30A3E" w:rsidRDefault="007F23E9" w:rsidP="00505C85">
            <w:pPr>
              <w:jc w:val="right"/>
              <w:rPr>
                <w:color w:val="000000"/>
                <w:sz w:val="22"/>
                <w:szCs w:val="22"/>
                <w:lang w:eastAsia="pt-BR"/>
              </w:rPr>
            </w:pPr>
            <w:r w:rsidRPr="00D30A3E">
              <w:rPr>
                <w:color w:val="000000"/>
                <w:sz w:val="22"/>
                <w:szCs w:val="22"/>
                <w:lang w:eastAsia="pt-BR"/>
              </w:rPr>
              <w:t>22,14</w:t>
            </w:r>
          </w:p>
        </w:tc>
        <w:tc>
          <w:tcPr>
            <w:tcW w:w="428" w:type="pct"/>
            <w:tcBorders>
              <w:top w:val="nil"/>
              <w:bottom w:val="nil"/>
            </w:tcBorders>
            <w:shd w:val="clear" w:color="auto" w:fill="D9D9D9"/>
            <w:noWrap/>
            <w:vAlign w:val="bottom"/>
            <w:hideMark/>
          </w:tcPr>
          <w:p w14:paraId="4A60F728" w14:textId="77777777" w:rsidR="007F23E9" w:rsidRPr="00D30A3E" w:rsidRDefault="007F23E9" w:rsidP="00505C85">
            <w:pPr>
              <w:jc w:val="right"/>
              <w:rPr>
                <w:color w:val="000000"/>
                <w:sz w:val="22"/>
                <w:szCs w:val="22"/>
                <w:lang w:eastAsia="pt-BR"/>
              </w:rPr>
            </w:pPr>
            <w:r w:rsidRPr="00D30A3E">
              <w:rPr>
                <w:color w:val="000000"/>
                <w:sz w:val="22"/>
                <w:szCs w:val="22"/>
                <w:lang w:eastAsia="pt-BR"/>
              </w:rPr>
              <w:t>17,93</w:t>
            </w:r>
          </w:p>
        </w:tc>
        <w:tc>
          <w:tcPr>
            <w:tcW w:w="426" w:type="pct"/>
            <w:tcBorders>
              <w:top w:val="nil"/>
              <w:bottom w:val="nil"/>
            </w:tcBorders>
            <w:shd w:val="clear" w:color="auto" w:fill="D9D9D9"/>
            <w:noWrap/>
            <w:vAlign w:val="bottom"/>
            <w:hideMark/>
          </w:tcPr>
          <w:p w14:paraId="04F6A4D5" w14:textId="77777777" w:rsidR="007F23E9" w:rsidRPr="00D30A3E" w:rsidRDefault="007F23E9" w:rsidP="00505C85">
            <w:pPr>
              <w:jc w:val="right"/>
              <w:rPr>
                <w:color w:val="000000"/>
                <w:sz w:val="22"/>
                <w:szCs w:val="22"/>
                <w:lang w:eastAsia="pt-BR"/>
              </w:rPr>
            </w:pPr>
            <w:r w:rsidRPr="00D30A3E">
              <w:rPr>
                <w:color w:val="000000"/>
                <w:sz w:val="22"/>
                <w:szCs w:val="22"/>
                <w:lang w:eastAsia="pt-BR"/>
              </w:rPr>
              <w:t>16,87</w:t>
            </w:r>
          </w:p>
        </w:tc>
      </w:tr>
      <w:tr w:rsidR="00D30A3E" w:rsidRPr="00D30A3E" w14:paraId="048F883C" w14:textId="77777777" w:rsidTr="00DC1B8C">
        <w:trPr>
          <w:trHeight w:val="300"/>
        </w:trPr>
        <w:tc>
          <w:tcPr>
            <w:tcW w:w="1538" w:type="pct"/>
            <w:tcBorders>
              <w:top w:val="nil"/>
              <w:bottom w:val="nil"/>
            </w:tcBorders>
            <w:noWrap/>
            <w:vAlign w:val="bottom"/>
            <w:hideMark/>
          </w:tcPr>
          <w:p w14:paraId="7332C5FC" w14:textId="77777777" w:rsidR="007F23E9" w:rsidRPr="00D30A3E" w:rsidRDefault="007F23E9" w:rsidP="00505C85">
            <w:pPr>
              <w:rPr>
                <w:color w:val="000000"/>
                <w:sz w:val="22"/>
                <w:szCs w:val="22"/>
                <w:lang w:eastAsia="pt-BR"/>
              </w:rPr>
            </w:pPr>
            <w:r w:rsidRPr="00D30A3E">
              <w:rPr>
                <w:color w:val="000000"/>
                <w:sz w:val="22"/>
                <w:szCs w:val="22"/>
                <w:lang w:eastAsia="pt-BR"/>
              </w:rPr>
              <w:t>Construção Civil</w:t>
            </w:r>
          </w:p>
        </w:tc>
        <w:tc>
          <w:tcPr>
            <w:tcW w:w="461" w:type="pct"/>
            <w:tcBorders>
              <w:top w:val="nil"/>
              <w:bottom w:val="nil"/>
            </w:tcBorders>
            <w:noWrap/>
            <w:vAlign w:val="bottom"/>
            <w:hideMark/>
          </w:tcPr>
          <w:p w14:paraId="7DE253B2" w14:textId="77777777" w:rsidR="007F23E9" w:rsidRPr="00D30A3E" w:rsidRDefault="007F23E9" w:rsidP="00505C85">
            <w:pPr>
              <w:jc w:val="right"/>
              <w:rPr>
                <w:color w:val="000000"/>
                <w:sz w:val="22"/>
                <w:szCs w:val="22"/>
                <w:lang w:eastAsia="pt-BR"/>
              </w:rPr>
            </w:pPr>
            <w:r w:rsidRPr="00D30A3E">
              <w:rPr>
                <w:color w:val="000000"/>
                <w:sz w:val="22"/>
                <w:szCs w:val="22"/>
                <w:lang w:eastAsia="pt-BR"/>
              </w:rPr>
              <w:t>4,14</w:t>
            </w:r>
          </w:p>
        </w:tc>
        <w:tc>
          <w:tcPr>
            <w:tcW w:w="425" w:type="pct"/>
            <w:tcBorders>
              <w:top w:val="nil"/>
              <w:bottom w:val="nil"/>
            </w:tcBorders>
            <w:noWrap/>
            <w:vAlign w:val="bottom"/>
            <w:hideMark/>
          </w:tcPr>
          <w:p w14:paraId="6EB1DD4E" w14:textId="77777777" w:rsidR="007F23E9" w:rsidRPr="00D30A3E" w:rsidRDefault="007F23E9" w:rsidP="00505C85">
            <w:pPr>
              <w:jc w:val="right"/>
              <w:rPr>
                <w:color w:val="000000"/>
                <w:sz w:val="22"/>
                <w:szCs w:val="22"/>
                <w:lang w:eastAsia="pt-BR"/>
              </w:rPr>
            </w:pPr>
            <w:r w:rsidRPr="00D30A3E">
              <w:rPr>
                <w:color w:val="000000"/>
                <w:sz w:val="22"/>
                <w:szCs w:val="22"/>
                <w:lang w:eastAsia="pt-BR"/>
              </w:rPr>
              <w:t>3,96</w:t>
            </w:r>
          </w:p>
        </w:tc>
        <w:tc>
          <w:tcPr>
            <w:tcW w:w="438" w:type="pct"/>
            <w:tcBorders>
              <w:top w:val="nil"/>
              <w:bottom w:val="nil"/>
            </w:tcBorders>
            <w:noWrap/>
            <w:vAlign w:val="bottom"/>
            <w:hideMark/>
          </w:tcPr>
          <w:p w14:paraId="3883ED1A" w14:textId="77777777" w:rsidR="007F23E9" w:rsidRPr="00D30A3E" w:rsidRDefault="007F23E9" w:rsidP="00505C85">
            <w:pPr>
              <w:jc w:val="right"/>
              <w:rPr>
                <w:color w:val="000000"/>
                <w:sz w:val="22"/>
                <w:szCs w:val="22"/>
                <w:lang w:eastAsia="pt-BR"/>
              </w:rPr>
            </w:pPr>
            <w:r w:rsidRPr="00D30A3E">
              <w:rPr>
                <w:color w:val="000000"/>
                <w:sz w:val="22"/>
                <w:szCs w:val="22"/>
                <w:lang w:eastAsia="pt-BR"/>
              </w:rPr>
              <w:t>5,56</w:t>
            </w:r>
          </w:p>
        </w:tc>
        <w:tc>
          <w:tcPr>
            <w:tcW w:w="428" w:type="pct"/>
            <w:tcBorders>
              <w:top w:val="nil"/>
              <w:bottom w:val="nil"/>
            </w:tcBorders>
            <w:noWrap/>
            <w:vAlign w:val="bottom"/>
            <w:hideMark/>
          </w:tcPr>
          <w:p w14:paraId="382BCA59" w14:textId="77777777" w:rsidR="007F23E9" w:rsidRPr="00D30A3E" w:rsidRDefault="007F23E9" w:rsidP="00505C85">
            <w:pPr>
              <w:jc w:val="right"/>
              <w:rPr>
                <w:color w:val="000000"/>
                <w:sz w:val="22"/>
                <w:szCs w:val="22"/>
                <w:lang w:eastAsia="pt-BR"/>
              </w:rPr>
            </w:pPr>
            <w:r w:rsidRPr="00D30A3E">
              <w:rPr>
                <w:color w:val="000000"/>
                <w:sz w:val="22"/>
                <w:szCs w:val="22"/>
                <w:lang w:eastAsia="pt-BR"/>
              </w:rPr>
              <w:t>6,21</w:t>
            </w:r>
          </w:p>
        </w:tc>
        <w:tc>
          <w:tcPr>
            <w:tcW w:w="428" w:type="pct"/>
            <w:tcBorders>
              <w:top w:val="nil"/>
              <w:bottom w:val="nil"/>
            </w:tcBorders>
            <w:noWrap/>
            <w:vAlign w:val="bottom"/>
            <w:hideMark/>
          </w:tcPr>
          <w:p w14:paraId="02FE9240" w14:textId="77777777" w:rsidR="007F23E9" w:rsidRPr="00D30A3E" w:rsidRDefault="007F23E9" w:rsidP="00505C85">
            <w:pPr>
              <w:jc w:val="right"/>
              <w:rPr>
                <w:color w:val="000000"/>
                <w:sz w:val="22"/>
                <w:szCs w:val="22"/>
                <w:lang w:eastAsia="pt-BR"/>
              </w:rPr>
            </w:pPr>
            <w:r w:rsidRPr="00D30A3E">
              <w:rPr>
                <w:color w:val="000000"/>
                <w:sz w:val="22"/>
                <w:szCs w:val="22"/>
                <w:lang w:eastAsia="pt-BR"/>
              </w:rPr>
              <w:t>9,21</w:t>
            </w:r>
          </w:p>
        </w:tc>
        <w:tc>
          <w:tcPr>
            <w:tcW w:w="428" w:type="pct"/>
            <w:tcBorders>
              <w:top w:val="nil"/>
              <w:bottom w:val="nil"/>
            </w:tcBorders>
            <w:noWrap/>
            <w:vAlign w:val="bottom"/>
            <w:hideMark/>
          </w:tcPr>
          <w:p w14:paraId="7B3D5386" w14:textId="77777777" w:rsidR="007F23E9" w:rsidRPr="00D30A3E" w:rsidRDefault="007F23E9" w:rsidP="00505C85">
            <w:pPr>
              <w:jc w:val="right"/>
              <w:rPr>
                <w:color w:val="000000"/>
                <w:sz w:val="22"/>
                <w:szCs w:val="22"/>
                <w:lang w:eastAsia="pt-BR"/>
              </w:rPr>
            </w:pPr>
            <w:r w:rsidRPr="00D30A3E">
              <w:rPr>
                <w:color w:val="000000"/>
                <w:sz w:val="22"/>
                <w:szCs w:val="22"/>
                <w:lang w:eastAsia="pt-BR"/>
              </w:rPr>
              <w:t>8,69</w:t>
            </w:r>
          </w:p>
        </w:tc>
        <w:tc>
          <w:tcPr>
            <w:tcW w:w="428" w:type="pct"/>
            <w:tcBorders>
              <w:top w:val="nil"/>
              <w:bottom w:val="nil"/>
            </w:tcBorders>
            <w:noWrap/>
            <w:vAlign w:val="bottom"/>
            <w:hideMark/>
          </w:tcPr>
          <w:p w14:paraId="7ABA374F" w14:textId="77777777" w:rsidR="007F23E9" w:rsidRPr="00D30A3E" w:rsidRDefault="007F23E9" w:rsidP="00505C85">
            <w:pPr>
              <w:jc w:val="right"/>
              <w:rPr>
                <w:color w:val="000000"/>
                <w:sz w:val="22"/>
                <w:szCs w:val="22"/>
                <w:lang w:eastAsia="pt-BR"/>
              </w:rPr>
            </w:pPr>
            <w:r w:rsidRPr="00D30A3E">
              <w:rPr>
                <w:color w:val="000000"/>
                <w:sz w:val="22"/>
                <w:szCs w:val="22"/>
                <w:lang w:eastAsia="pt-BR"/>
              </w:rPr>
              <w:t>11,22</w:t>
            </w:r>
          </w:p>
        </w:tc>
        <w:tc>
          <w:tcPr>
            <w:tcW w:w="426" w:type="pct"/>
            <w:tcBorders>
              <w:top w:val="nil"/>
              <w:bottom w:val="nil"/>
            </w:tcBorders>
            <w:noWrap/>
            <w:vAlign w:val="bottom"/>
            <w:hideMark/>
          </w:tcPr>
          <w:p w14:paraId="54E8DDBD" w14:textId="77777777" w:rsidR="007F23E9" w:rsidRPr="00D30A3E" w:rsidRDefault="007F23E9" w:rsidP="00505C85">
            <w:pPr>
              <w:jc w:val="right"/>
              <w:rPr>
                <w:color w:val="000000"/>
                <w:sz w:val="22"/>
                <w:szCs w:val="22"/>
                <w:lang w:eastAsia="pt-BR"/>
              </w:rPr>
            </w:pPr>
            <w:r w:rsidRPr="00D30A3E">
              <w:rPr>
                <w:color w:val="000000"/>
                <w:sz w:val="22"/>
                <w:szCs w:val="22"/>
                <w:lang w:eastAsia="pt-BR"/>
              </w:rPr>
              <w:t>11,61</w:t>
            </w:r>
          </w:p>
        </w:tc>
      </w:tr>
      <w:tr w:rsidR="00D30A3E" w:rsidRPr="00D30A3E" w14:paraId="4A839B2F" w14:textId="77777777" w:rsidTr="00DC1B8C">
        <w:trPr>
          <w:trHeight w:val="300"/>
        </w:trPr>
        <w:tc>
          <w:tcPr>
            <w:tcW w:w="1538" w:type="pct"/>
            <w:tcBorders>
              <w:top w:val="nil"/>
              <w:bottom w:val="nil"/>
            </w:tcBorders>
            <w:noWrap/>
            <w:vAlign w:val="bottom"/>
            <w:hideMark/>
          </w:tcPr>
          <w:p w14:paraId="116A20D8" w14:textId="77777777" w:rsidR="007F23E9" w:rsidRPr="00D30A3E" w:rsidRDefault="007F23E9" w:rsidP="00505C85">
            <w:pPr>
              <w:rPr>
                <w:color w:val="000000"/>
                <w:sz w:val="22"/>
                <w:szCs w:val="22"/>
                <w:lang w:eastAsia="pt-BR"/>
              </w:rPr>
            </w:pPr>
            <w:r w:rsidRPr="00D30A3E">
              <w:rPr>
                <w:color w:val="000000"/>
                <w:sz w:val="22"/>
                <w:szCs w:val="22"/>
                <w:lang w:eastAsia="pt-BR"/>
              </w:rPr>
              <w:t xml:space="preserve">Comércio  </w:t>
            </w:r>
          </w:p>
        </w:tc>
        <w:tc>
          <w:tcPr>
            <w:tcW w:w="461" w:type="pct"/>
            <w:tcBorders>
              <w:top w:val="nil"/>
              <w:bottom w:val="nil"/>
            </w:tcBorders>
            <w:noWrap/>
            <w:vAlign w:val="bottom"/>
            <w:hideMark/>
          </w:tcPr>
          <w:p w14:paraId="2F7AB70A" w14:textId="77777777" w:rsidR="007F23E9" w:rsidRPr="00D30A3E" w:rsidRDefault="007F23E9" w:rsidP="00505C85">
            <w:pPr>
              <w:jc w:val="right"/>
              <w:rPr>
                <w:color w:val="000000"/>
                <w:sz w:val="22"/>
                <w:szCs w:val="22"/>
                <w:lang w:eastAsia="pt-BR"/>
              </w:rPr>
            </w:pPr>
            <w:r w:rsidRPr="00D30A3E">
              <w:rPr>
                <w:color w:val="000000"/>
                <w:sz w:val="22"/>
                <w:szCs w:val="22"/>
                <w:lang w:eastAsia="pt-BR"/>
              </w:rPr>
              <w:t>15,96</w:t>
            </w:r>
          </w:p>
        </w:tc>
        <w:tc>
          <w:tcPr>
            <w:tcW w:w="425" w:type="pct"/>
            <w:tcBorders>
              <w:top w:val="nil"/>
              <w:bottom w:val="nil"/>
            </w:tcBorders>
            <w:noWrap/>
            <w:vAlign w:val="bottom"/>
            <w:hideMark/>
          </w:tcPr>
          <w:p w14:paraId="11CCD9CB" w14:textId="77777777" w:rsidR="007F23E9" w:rsidRPr="00D30A3E" w:rsidRDefault="007F23E9" w:rsidP="00505C85">
            <w:pPr>
              <w:jc w:val="right"/>
              <w:rPr>
                <w:color w:val="000000"/>
                <w:sz w:val="22"/>
                <w:szCs w:val="22"/>
                <w:lang w:eastAsia="pt-BR"/>
              </w:rPr>
            </w:pPr>
            <w:r w:rsidRPr="00D30A3E">
              <w:rPr>
                <w:color w:val="000000"/>
                <w:sz w:val="22"/>
                <w:szCs w:val="22"/>
                <w:lang w:eastAsia="pt-BR"/>
              </w:rPr>
              <w:t>17,13</w:t>
            </w:r>
          </w:p>
        </w:tc>
        <w:tc>
          <w:tcPr>
            <w:tcW w:w="438" w:type="pct"/>
            <w:tcBorders>
              <w:top w:val="nil"/>
              <w:bottom w:val="nil"/>
            </w:tcBorders>
            <w:noWrap/>
            <w:vAlign w:val="bottom"/>
            <w:hideMark/>
          </w:tcPr>
          <w:p w14:paraId="7ACC0E72" w14:textId="77777777" w:rsidR="007F23E9" w:rsidRPr="00D30A3E" w:rsidRDefault="007F23E9" w:rsidP="00505C85">
            <w:pPr>
              <w:jc w:val="right"/>
              <w:rPr>
                <w:color w:val="000000"/>
                <w:sz w:val="22"/>
                <w:szCs w:val="22"/>
                <w:lang w:eastAsia="pt-BR"/>
              </w:rPr>
            </w:pPr>
            <w:r w:rsidRPr="00D30A3E">
              <w:rPr>
                <w:color w:val="000000"/>
                <w:sz w:val="22"/>
                <w:szCs w:val="22"/>
                <w:lang w:eastAsia="pt-BR"/>
              </w:rPr>
              <w:t>18,25</w:t>
            </w:r>
          </w:p>
        </w:tc>
        <w:tc>
          <w:tcPr>
            <w:tcW w:w="428" w:type="pct"/>
            <w:tcBorders>
              <w:top w:val="nil"/>
              <w:bottom w:val="nil"/>
            </w:tcBorders>
            <w:noWrap/>
            <w:vAlign w:val="bottom"/>
            <w:hideMark/>
          </w:tcPr>
          <w:p w14:paraId="0153131E" w14:textId="77777777" w:rsidR="007F23E9" w:rsidRPr="00D30A3E" w:rsidRDefault="007F23E9" w:rsidP="00505C85">
            <w:pPr>
              <w:jc w:val="right"/>
              <w:rPr>
                <w:color w:val="000000"/>
                <w:sz w:val="22"/>
                <w:szCs w:val="22"/>
                <w:lang w:eastAsia="pt-BR"/>
              </w:rPr>
            </w:pPr>
            <w:r w:rsidRPr="00D30A3E">
              <w:rPr>
                <w:color w:val="000000"/>
                <w:sz w:val="22"/>
                <w:szCs w:val="22"/>
                <w:lang w:eastAsia="pt-BR"/>
              </w:rPr>
              <w:t>18,92</w:t>
            </w:r>
          </w:p>
        </w:tc>
        <w:tc>
          <w:tcPr>
            <w:tcW w:w="428" w:type="pct"/>
            <w:tcBorders>
              <w:top w:val="nil"/>
              <w:bottom w:val="nil"/>
            </w:tcBorders>
            <w:noWrap/>
            <w:vAlign w:val="bottom"/>
            <w:hideMark/>
          </w:tcPr>
          <w:p w14:paraId="6B11285C" w14:textId="77777777" w:rsidR="007F23E9" w:rsidRPr="00D30A3E" w:rsidRDefault="007F23E9" w:rsidP="00505C85">
            <w:pPr>
              <w:jc w:val="right"/>
              <w:rPr>
                <w:color w:val="000000"/>
                <w:sz w:val="22"/>
                <w:szCs w:val="22"/>
                <w:lang w:eastAsia="pt-BR"/>
              </w:rPr>
            </w:pPr>
            <w:r w:rsidRPr="00D30A3E">
              <w:rPr>
                <w:color w:val="000000"/>
                <w:sz w:val="22"/>
                <w:szCs w:val="22"/>
                <w:lang w:eastAsia="pt-BR"/>
              </w:rPr>
              <w:t>15,97</w:t>
            </w:r>
          </w:p>
        </w:tc>
        <w:tc>
          <w:tcPr>
            <w:tcW w:w="428" w:type="pct"/>
            <w:tcBorders>
              <w:top w:val="nil"/>
              <w:bottom w:val="nil"/>
            </w:tcBorders>
            <w:noWrap/>
            <w:vAlign w:val="bottom"/>
            <w:hideMark/>
          </w:tcPr>
          <w:p w14:paraId="0C462FB0" w14:textId="77777777" w:rsidR="007F23E9" w:rsidRPr="00D30A3E" w:rsidRDefault="007F23E9" w:rsidP="00505C85">
            <w:pPr>
              <w:jc w:val="right"/>
              <w:rPr>
                <w:color w:val="000000"/>
                <w:sz w:val="22"/>
                <w:szCs w:val="22"/>
                <w:lang w:eastAsia="pt-BR"/>
              </w:rPr>
            </w:pPr>
            <w:r w:rsidRPr="00D30A3E">
              <w:rPr>
                <w:color w:val="000000"/>
                <w:sz w:val="22"/>
                <w:szCs w:val="22"/>
                <w:lang w:eastAsia="pt-BR"/>
              </w:rPr>
              <w:t>16,29</w:t>
            </w:r>
          </w:p>
        </w:tc>
        <w:tc>
          <w:tcPr>
            <w:tcW w:w="428" w:type="pct"/>
            <w:tcBorders>
              <w:top w:val="nil"/>
              <w:bottom w:val="nil"/>
            </w:tcBorders>
            <w:noWrap/>
            <w:vAlign w:val="bottom"/>
            <w:hideMark/>
          </w:tcPr>
          <w:p w14:paraId="7BA01EEB" w14:textId="77777777" w:rsidR="007F23E9" w:rsidRPr="00D30A3E" w:rsidRDefault="007F23E9" w:rsidP="00505C85">
            <w:pPr>
              <w:jc w:val="right"/>
              <w:rPr>
                <w:color w:val="000000"/>
                <w:sz w:val="22"/>
                <w:szCs w:val="22"/>
                <w:lang w:eastAsia="pt-BR"/>
              </w:rPr>
            </w:pPr>
            <w:r w:rsidRPr="00D30A3E">
              <w:rPr>
                <w:color w:val="000000"/>
                <w:sz w:val="22"/>
                <w:szCs w:val="22"/>
                <w:lang w:eastAsia="pt-BR"/>
              </w:rPr>
              <w:t>16,02</w:t>
            </w:r>
          </w:p>
        </w:tc>
        <w:tc>
          <w:tcPr>
            <w:tcW w:w="426" w:type="pct"/>
            <w:tcBorders>
              <w:top w:val="nil"/>
              <w:bottom w:val="nil"/>
            </w:tcBorders>
            <w:noWrap/>
            <w:vAlign w:val="bottom"/>
            <w:hideMark/>
          </w:tcPr>
          <w:p w14:paraId="48CF0F1D" w14:textId="77777777" w:rsidR="007F23E9" w:rsidRPr="00D30A3E" w:rsidRDefault="007F23E9" w:rsidP="00505C85">
            <w:pPr>
              <w:jc w:val="right"/>
              <w:rPr>
                <w:color w:val="000000"/>
                <w:sz w:val="22"/>
                <w:szCs w:val="22"/>
                <w:lang w:eastAsia="pt-BR"/>
              </w:rPr>
            </w:pPr>
            <w:r w:rsidRPr="00D30A3E">
              <w:rPr>
                <w:color w:val="000000"/>
                <w:sz w:val="22"/>
                <w:szCs w:val="22"/>
                <w:lang w:eastAsia="pt-BR"/>
              </w:rPr>
              <w:t>16,60</w:t>
            </w:r>
          </w:p>
        </w:tc>
      </w:tr>
      <w:tr w:rsidR="00D30A3E" w:rsidRPr="00D30A3E" w14:paraId="6054F660" w14:textId="77777777" w:rsidTr="00DC1B8C">
        <w:trPr>
          <w:trHeight w:val="300"/>
        </w:trPr>
        <w:tc>
          <w:tcPr>
            <w:tcW w:w="1538" w:type="pct"/>
            <w:tcBorders>
              <w:top w:val="nil"/>
              <w:bottom w:val="nil"/>
            </w:tcBorders>
            <w:shd w:val="clear" w:color="auto" w:fill="D9D9D9"/>
            <w:noWrap/>
            <w:vAlign w:val="bottom"/>
            <w:hideMark/>
          </w:tcPr>
          <w:p w14:paraId="35E53723" w14:textId="77777777" w:rsidR="007F23E9" w:rsidRPr="00D30A3E" w:rsidRDefault="007F23E9" w:rsidP="00505C85">
            <w:pPr>
              <w:rPr>
                <w:color w:val="000000"/>
                <w:sz w:val="22"/>
                <w:szCs w:val="22"/>
                <w:lang w:eastAsia="pt-BR"/>
              </w:rPr>
            </w:pPr>
            <w:r w:rsidRPr="00D30A3E">
              <w:rPr>
                <w:color w:val="000000"/>
                <w:sz w:val="22"/>
                <w:szCs w:val="22"/>
                <w:lang w:eastAsia="pt-BR"/>
              </w:rPr>
              <w:t xml:space="preserve">Serviços  </w:t>
            </w:r>
          </w:p>
        </w:tc>
        <w:tc>
          <w:tcPr>
            <w:tcW w:w="461" w:type="pct"/>
            <w:tcBorders>
              <w:top w:val="nil"/>
              <w:bottom w:val="nil"/>
            </w:tcBorders>
            <w:shd w:val="clear" w:color="auto" w:fill="D9D9D9"/>
            <w:noWrap/>
            <w:vAlign w:val="bottom"/>
            <w:hideMark/>
          </w:tcPr>
          <w:p w14:paraId="3581041F"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20,22</w:t>
            </w:r>
          </w:p>
        </w:tc>
        <w:tc>
          <w:tcPr>
            <w:tcW w:w="425" w:type="pct"/>
            <w:tcBorders>
              <w:top w:val="nil"/>
              <w:bottom w:val="nil"/>
            </w:tcBorders>
            <w:shd w:val="clear" w:color="auto" w:fill="D9D9D9"/>
            <w:noWrap/>
            <w:vAlign w:val="bottom"/>
            <w:hideMark/>
          </w:tcPr>
          <w:p w14:paraId="3187DAE6" w14:textId="77777777" w:rsidR="007F23E9" w:rsidRPr="00D30A3E" w:rsidRDefault="007F23E9" w:rsidP="00505C85">
            <w:pPr>
              <w:jc w:val="right"/>
              <w:rPr>
                <w:color w:val="000000"/>
                <w:sz w:val="22"/>
                <w:szCs w:val="22"/>
                <w:lang w:eastAsia="pt-BR"/>
              </w:rPr>
            </w:pPr>
            <w:r w:rsidRPr="00D30A3E">
              <w:rPr>
                <w:color w:val="000000"/>
                <w:sz w:val="22"/>
                <w:szCs w:val="22"/>
                <w:lang w:eastAsia="pt-BR"/>
              </w:rPr>
              <w:t>19,65</w:t>
            </w:r>
          </w:p>
        </w:tc>
        <w:tc>
          <w:tcPr>
            <w:tcW w:w="438" w:type="pct"/>
            <w:tcBorders>
              <w:top w:val="nil"/>
              <w:bottom w:val="nil"/>
            </w:tcBorders>
            <w:shd w:val="clear" w:color="auto" w:fill="D9D9D9"/>
            <w:noWrap/>
            <w:vAlign w:val="bottom"/>
            <w:hideMark/>
          </w:tcPr>
          <w:p w14:paraId="43E587E4"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20,78</w:t>
            </w:r>
          </w:p>
        </w:tc>
        <w:tc>
          <w:tcPr>
            <w:tcW w:w="428" w:type="pct"/>
            <w:tcBorders>
              <w:top w:val="nil"/>
              <w:bottom w:val="nil"/>
            </w:tcBorders>
            <w:shd w:val="clear" w:color="auto" w:fill="D9D9D9"/>
            <w:noWrap/>
            <w:vAlign w:val="bottom"/>
            <w:hideMark/>
          </w:tcPr>
          <w:p w14:paraId="579B039A" w14:textId="77777777" w:rsidR="007F23E9" w:rsidRPr="00D30A3E" w:rsidRDefault="007F23E9" w:rsidP="00505C85">
            <w:pPr>
              <w:jc w:val="right"/>
              <w:rPr>
                <w:color w:val="000000"/>
                <w:sz w:val="22"/>
                <w:szCs w:val="22"/>
                <w:lang w:eastAsia="pt-BR"/>
              </w:rPr>
            </w:pPr>
            <w:r w:rsidRPr="00D30A3E">
              <w:rPr>
                <w:color w:val="000000"/>
                <w:sz w:val="22"/>
                <w:szCs w:val="22"/>
                <w:lang w:eastAsia="pt-BR"/>
              </w:rPr>
              <w:t>21,59</w:t>
            </w:r>
          </w:p>
        </w:tc>
        <w:tc>
          <w:tcPr>
            <w:tcW w:w="428" w:type="pct"/>
            <w:tcBorders>
              <w:top w:val="nil"/>
              <w:bottom w:val="nil"/>
            </w:tcBorders>
            <w:shd w:val="clear" w:color="auto" w:fill="D9D9D9"/>
            <w:noWrap/>
            <w:vAlign w:val="bottom"/>
            <w:hideMark/>
          </w:tcPr>
          <w:p w14:paraId="70E6199D" w14:textId="77777777" w:rsidR="007F23E9" w:rsidRPr="00D30A3E" w:rsidRDefault="007F23E9" w:rsidP="00505C85">
            <w:pPr>
              <w:jc w:val="right"/>
              <w:rPr>
                <w:color w:val="000000"/>
                <w:sz w:val="22"/>
                <w:szCs w:val="22"/>
                <w:lang w:eastAsia="pt-BR"/>
              </w:rPr>
            </w:pPr>
            <w:r w:rsidRPr="00D30A3E">
              <w:rPr>
                <w:color w:val="000000"/>
                <w:sz w:val="22"/>
                <w:szCs w:val="22"/>
                <w:lang w:eastAsia="pt-BR"/>
              </w:rPr>
              <w:t>21,51</w:t>
            </w:r>
          </w:p>
        </w:tc>
        <w:tc>
          <w:tcPr>
            <w:tcW w:w="428" w:type="pct"/>
            <w:tcBorders>
              <w:top w:val="nil"/>
              <w:bottom w:val="nil"/>
            </w:tcBorders>
            <w:shd w:val="clear" w:color="auto" w:fill="D9D9D9"/>
            <w:noWrap/>
            <w:vAlign w:val="bottom"/>
            <w:hideMark/>
          </w:tcPr>
          <w:p w14:paraId="467180BD" w14:textId="77777777" w:rsidR="007F23E9" w:rsidRPr="00D30A3E" w:rsidRDefault="007F23E9" w:rsidP="00505C85">
            <w:pPr>
              <w:jc w:val="right"/>
              <w:rPr>
                <w:color w:val="000000"/>
                <w:sz w:val="22"/>
                <w:szCs w:val="22"/>
                <w:lang w:eastAsia="pt-BR"/>
              </w:rPr>
            </w:pPr>
            <w:r w:rsidRPr="00D30A3E">
              <w:rPr>
                <w:color w:val="000000"/>
                <w:sz w:val="22"/>
                <w:szCs w:val="22"/>
                <w:lang w:eastAsia="pt-BR"/>
              </w:rPr>
              <w:t>23,06</w:t>
            </w:r>
          </w:p>
        </w:tc>
        <w:tc>
          <w:tcPr>
            <w:tcW w:w="428" w:type="pct"/>
            <w:tcBorders>
              <w:top w:val="nil"/>
              <w:bottom w:val="nil"/>
            </w:tcBorders>
            <w:shd w:val="clear" w:color="auto" w:fill="D9D9D9"/>
            <w:noWrap/>
            <w:vAlign w:val="bottom"/>
            <w:hideMark/>
          </w:tcPr>
          <w:p w14:paraId="0B64B14C" w14:textId="77777777" w:rsidR="007F23E9" w:rsidRPr="00D30A3E" w:rsidRDefault="007F23E9" w:rsidP="00505C85">
            <w:pPr>
              <w:jc w:val="right"/>
              <w:rPr>
                <w:color w:val="000000"/>
                <w:sz w:val="22"/>
                <w:szCs w:val="22"/>
                <w:lang w:eastAsia="pt-BR"/>
              </w:rPr>
            </w:pPr>
            <w:r w:rsidRPr="00D30A3E">
              <w:rPr>
                <w:color w:val="000000"/>
                <w:sz w:val="22"/>
                <w:szCs w:val="22"/>
                <w:lang w:eastAsia="pt-BR"/>
              </w:rPr>
              <w:t>25,34</w:t>
            </w:r>
          </w:p>
        </w:tc>
        <w:tc>
          <w:tcPr>
            <w:tcW w:w="426" w:type="pct"/>
            <w:tcBorders>
              <w:top w:val="nil"/>
              <w:bottom w:val="nil"/>
            </w:tcBorders>
            <w:shd w:val="clear" w:color="auto" w:fill="D9D9D9"/>
            <w:noWrap/>
            <w:vAlign w:val="bottom"/>
            <w:hideMark/>
          </w:tcPr>
          <w:p w14:paraId="30F273E5" w14:textId="77777777" w:rsidR="007F23E9" w:rsidRPr="00D30A3E" w:rsidRDefault="007F23E9" w:rsidP="00505C85">
            <w:pPr>
              <w:jc w:val="right"/>
              <w:rPr>
                <w:color w:val="000000"/>
                <w:sz w:val="22"/>
                <w:szCs w:val="22"/>
                <w:lang w:eastAsia="pt-BR"/>
              </w:rPr>
            </w:pPr>
            <w:r w:rsidRPr="00D30A3E">
              <w:rPr>
                <w:color w:val="000000"/>
                <w:sz w:val="22"/>
                <w:szCs w:val="22"/>
                <w:lang w:eastAsia="pt-BR"/>
              </w:rPr>
              <w:t>27,43</w:t>
            </w:r>
          </w:p>
        </w:tc>
      </w:tr>
      <w:tr w:rsidR="00D30A3E" w:rsidRPr="00D30A3E" w14:paraId="4F9A5279" w14:textId="77777777" w:rsidTr="00DC1B8C">
        <w:trPr>
          <w:trHeight w:val="300"/>
        </w:trPr>
        <w:tc>
          <w:tcPr>
            <w:tcW w:w="1538" w:type="pct"/>
            <w:tcBorders>
              <w:top w:val="nil"/>
              <w:bottom w:val="nil"/>
            </w:tcBorders>
            <w:noWrap/>
            <w:vAlign w:val="bottom"/>
            <w:hideMark/>
          </w:tcPr>
          <w:p w14:paraId="367CA714" w14:textId="77777777" w:rsidR="007F23E9" w:rsidRPr="00D30A3E" w:rsidRDefault="007F23E9" w:rsidP="00505C85">
            <w:pPr>
              <w:rPr>
                <w:color w:val="000000"/>
                <w:sz w:val="22"/>
                <w:szCs w:val="22"/>
                <w:lang w:eastAsia="pt-BR"/>
              </w:rPr>
            </w:pPr>
            <w:r w:rsidRPr="00D30A3E">
              <w:rPr>
                <w:color w:val="000000"/>
                <w:sz w:val="22"/>
                <w:szCs w:val="22"/>
                <w:lang w:eastAsia="pt-BR"/>
              </w:rPr>
              <w:t>Administração pública</w:t>
            </w:r>
          </w:p>
        </w:tc>
        <w:tc>
          <w:tcPr>
            <w:tcW w:w="461" w:type="pct"/>
            <w:tcBorders>
              <w:top w:val="nil"/>
              <w:bottom w:val="nil"/>
            </w:tcBorders>
            <w:noWrap/>
            <w:vAlign w:val="bottom"/>
            <w:hideMark/>
          </w:tcPr>
          <w:p w14:paraId="67227AD0" w14:textId="77777777" w:rsidR="007F23E9" w:rsidRPr="00D30A3E" w:rsidRDefault="007F23E9" w:rsidP="00505C85">
            <w:pPr>
              <w:jc w:val="right"/>
              <w:rPr>
                <w:color w:val="000000"/>
                <w:sz w:val="22"/>
                <w:szCs w:val="22"/>
                <w:lang w:eastAsia="pt-BR"/>
              </w:rPr>
            </w:pPr>
            <w:r w:rsidRPr="00D30A3E">
              <w:rPr>
                <w:color w:val="000000"/>
                <w:sz w:val="22"/>
                <w:szCs w:val="22"/>
                <w:lang w:eastAsia="pt-BR"/>
              </w:rPr>
              <w:t>2,45</w:t>
            </w:r>
          </w:p>
        </w:tc>
        <w:tc>
          <w:tcPr>
            <w:tcW w:w="425" w:type="pct"/>
            <w:tcBorders>
              <w:top w:val="nil"/>
              <w:bottom w:val="nil"/>
            </w:tcBorders>
            <w:noWrap/>
            <w:vAlign w:val="bottom"/>
            <w:hideMark/>
          </w:tcPr>
          <w:p w14:paraId="30CE6185" w14:textId="77777777" w:rsidR="007F23E9" w:rsidRPr="00D30A3E" w:rsidRDefault="007F23E9" w:rsidP="00505C85">
            <w:pPr>
              <w:jc w:val="right"/>
              <w:rPr>
                <w:color w:val="000000"/>
                <w:sz w:val="22"/>
                <w:szCs w:val="22"/>
                <w:lang w:eastAsia="pt-BR"/>
              </w:rPr>
            </w:pPr>
            <w:r w:rsidRPr="00D30A3E">
              <w:rPr>
                <w:color w:val="000000"/>
                <w:sz w:val="22"/>
                <w:szCs w:val="22"/>
                <w:lang w:eastAsia="pt-BR"/>
              </w:rPr>
              <w:t>1,84</w:t>
            </w:r>
          </w:p>
        </w:tc>
        <w:tc>
          <w:tcPr>
            <w:tcW w:w="438" w:type="pct"/>
            <w:tcBorders>
              <w:top w:val="nil"/>
              <w:bottom w:val="nil"/>
            </w:tcBorders>
            <w:noWrap/>
            <w:vAlign w:val="bottom"/>
            <w:hideMark/>
          </w:tcPr>
          <w:p w14:paraId="787FEAA1" w14:textId="77777777" w:rsidR="007F23E9" w:rsidRPr="00D30A3E" w:rsidRDefault="007F23E9" w:rsidP="00505C85">
            <w:pPr>
              <w:jc w:val="right"/>
              <w:rPr>
                <w:color w:val="000000"/>
                <w:sz w:val="22"/>
                <w:szCs w:val="22"/>
                <w:lang w:eastAsia="pt-BR"/>
              </w:rPr>
            </w:pPr>
            <w:r w:rsidRPr="00D30A3E">
              <w:rPr>
                <w:color w:val="000000"/>
                <w:sz w:val="22"/>
                <w:szCs w:val="22"/>
                <w:lang w:eastAsia="pt-BR"/>
              </w:rPr>
              <w:t>1,87</w:t>
            </w:r>
          </w:p>
        </w:tc>
        <w:tc>
          <w:tcPr>
            <w:tcW w:w="428" w:type="pct"/>
            <w:tcBorders>
              <w:top w:val="nil"/>
              <w:bottom w:val="nil"/>
            </w:tcBorders>
            <w:noWrap/>
            <w:vAlign w:val="bottom"/>
            <w:hideMark/>
          </w:tcPr>
          <w:p w14:paraId="5E590EFC" w14:textId="77777777" w:rsidR="007F23E9" w:rsidRPr="00D30A3E" w:rsidRDefault="007F23E9" w:rsidP="00505C85">
            <w:pPr>
              <w:jc w:val="right"/>
              <w:rPr>
                <w:color w:val="000000"/>
                <w:sz w:val="22"/>
                <w:szCs w:val="22"/>
                <w:lang w:eastAsia="pt-BR"/>
              </w:rPr>
            </w:pPr>
            <w:r w:rsidRPr="00D30A3E">
              <w:rPr>
                <w:color w:val="000000"/>
                <w:sz w:val="22"/>
                <w:szCs w:val="22"/>
                <w:lang w:eastAsia="pt-BR"/>
              </w:rPr>
              <w:t>1,49</w:t>
            </w:r>
          </w:p>
        </w:tc>
        <w:tc>
          <w:tcPr>
            <w:tcW w:w="428" w:type="pct"/>
            <w:tcBorders>
              <w:top w:val="nil"/>
              <w:bottom w:val="nil"/>
            </w:tcBorders>
            <w:noWrap/>
            <w:vAlign w:val="bottom"/>
            <w:hideMark/>
          </w:tcPr>
          <w:p w14:paraId="19A0B3FD" w14:textId="77777777" w:rsidR="007F23E9" w:rsidRPr="00D30A3E" w:rsidRDefault="007F23E9" w:rsidP="00505C85">
            <w:pPr>
              <w:jc w:val="right"/>
              <w:rPr>
                <w:color w:val="000000"/>
                <w:sz w:val="22"/>
                <w:szCs w:val="22"/>
                <w:lang w:eastAsia="pt-BR"/>
              </w:rPr>
            </w:pPr>
            <w:r w:rsidRPr="00D30A3E">
              <w:rPr>
                <w:color w:val="000000"/>
                <w:sz w:val="22"/>
                <w:szCs w:val="22"/>
                <w:lang w:eastAsia="pt-BR"/>
              </w:rPr>
              <w:t>4,95</w:t>
            </w:r>
          </w:p>
        </w:tc>
        <w:tc>
          <w:tcPr>
            <w:tcW w:w="428" w:type="pct"/>
            <w:tcBorders>
              <w:top w:val="nil"/>
              <w:bottom w:val="nil"/>
            </w:tcBorders>
            <w:noWrap/>
            <w:vAlign w:val="bottom"/>
            <w:hideMark/>
          </w:tcPr>
          <w:p w14:paraId="4525AD9A" w14:textId="77777777" w:rsidR="007F23E9" w:rsidRPr="00D30A3E" w:rsidRDefault="007F23E9" w:rsidP="00505C85">
            <w:pPr>
              <w:jc w:val="right"/>
              <w:rPr>
                <w:color w:val="000000"/>
                <w:sz w:val="22"/>
                <w:szCs w:val="22"/>
                <w:lang w:eastAsia="pt-BR"/>
              </w:rPr>
            </w:pPr>
            <w:r w:rsidRPr="00D30A3E">
              <w:rPr>
                <w:color w:val="000000"/>
                <w:sz w:val="22"/>
                <w:szCs w:val="22"/>
                <w:lang w:eastAsia="pt-BR"/>
              </w:rPr>
              <w:t>5,44</w:t>
            </w:r>
          </w:p>
        </w:tc>
        <w:tc>
          <w:tcPr>
            <w:tcW w:w="428" w:type="pct"/>
            <w:tcBorders>
              <w:top w:val="nil"/>
              <w:bottom w:val="nil"/>
            </w:tcBorders>
            <w:noWrap/>
            <w:vAlign w:val="bottom"/>
            <w:hideMark/>
          </w:tcPr>
          <w:p w14:paraId="5181CBBB" w14:textId="77777777" w:rsidR="007F23E9" w:rsidRPr="00D30A3E" w:rsidRDefault="007F23E9" w:rsidP="00505C85">
            <w:pPr>
              <w:jc w:val="right"/>
              <w:rPr>
                <w:color w:val="000000"/>
                <w:sz w:val="22"/>
                <w:szCs w:val="22"/>
                <w:lang w:eastAsia="pt-BR"/>
              </w:rPr>
            </w:pPr>
            <w:r w:rsidRPr="00D30A3E">
              <w:rPr>
                <w:color w:val="000000"/>
                <w:sz w:val="22"/>
                <w:szCs w:val="22"/>
                <w:lang w:eastAsia="pt-BR"/>
              </w:rPr>
              <w:t>6,89</w:t>
            </w:r>
          </w:p>
        </w:tc>
        <w:tc>
          <w:tcPr>
            <w:tcW w:w="426" w:type="pct"/>
            <w:tcBorders>
              <w:top w:val="nil"/>
              <w:bottom w:val="nil"/>
            </w:tcBorders>
            <w:noWrap/>
            <w:vAlign w:val="bottom"/>
            <w:hideMark/>
          </w:tcPr>
          <w:p w14:paraId="7B719627" w14:textId="77777777" w:rsidR="007F23E9" w:rsidRPr="00D30A3E" w:rsidRDefault="007F23E9" w:rsidP="00505C85">
            <w:pPr>
              <w:jc w:val="right"/>
              <w:rPr>
                <w:color w:val="000000"/>
                <w:sz w:val="22"/>
                <w:szCs w:val="22"/>
                <w:lang w:eastAsia="pt-BR"/>
              </w:rPr>
            </w:pPr>
            <w:r w:rsidRPr="00D30A3E">
              <w:rPr>
                <w:color w:val="000000"/>
                <w:sz w:val="22"/>
                <w:szCs w:val="22"/>
                <w:lang w:eastAsia="pt-BR"/>
              </w:rPr>
              <w:t>7,37</w:t>
            </w:r>
          </w:p>
        </w:tc>
      </w:tr>
      <w:tr w:rsidR="00D30A3E" w:rsidRPr="00D30A3E" w14:paraId="77E1F6CD" w14:textId="77777777" w:rsidTr="00DC1B8C">
        <w:trPr>
          <w:trHeight w:val="315"/>
        </w:trPr>
        <w:tc>
          <w:tcPr>
            <w:tcW w:w="1538" w:type="pct"/>
            <w:tcBorders>
              <w:top w:val="nil"/>
            </w:tcBorders>
            <w:noWrap/>
            <w:vAlign w:val="bottom"/>
            <w:hideMark/>
          </w:tcPr>
          <w:p w14:paraId="6E5AD2FB" w14:textId="77777777" w:rsidR="007F23E9" w:rsidRPr="00D30A3E" w:rsidRDefault="007F23E9" w:rsidP="00505C85">
            <w:pPr>
              <w:rPr>
                <w:color w:val="000000"/>
                <w:sz w:val="22"/>
                <w:szCs w:val="22"/>
                <w:lang w:eastAsia="pt-BR"/>
              </w:rPr>
            </w:pPr>
            <w:r w:rsidRPr="00D30A3E">
              <w:rPr>
                <w:color w:val="000000"/>
                <w:sz w:val="22"/>
                <w:szCs w:val="22"/>
                <w:lang w:eastAsia="pt-BR"/>
              </w:rPr>
              <w:t>Outras atividades e Atividade mal definidas</w:t>
            </w:r>
          </w:p>
        </w:tc>
        <w:tc>
          <w:tcPr>
            <w:tcW w:w="461" w:type="pct"/>
            <w:tcBorders>
              <w:top w:val="nil"/>
            </w:tcBorders>
            <w:noWrap/>
            <w:vAlign w:val="bottom"/>
            <w:hideMark/>
          </w:tcPr>
          <w:p w14:paraId="2D5CDE05" w14:textId="77777777" w:rsidR="007F23E9" w:rsidRPr="00D30A3E" w:rsidRDefault="007F23E9" w:rsidP="00505C85">
            <w:pPr>
              <w:jc w:val="right"/>
              <w:rPr>
                <w:color w:val="000000"/>
                <w:sz w:val="22"/>
                <w:szCs w:val="22"/>
                <w:lang w:eastAsia="pt-BR"/>
              </w:rPr>
            </w:pPr>
            <w:r w:rsidRPr="00D30A3E">
              <w:rPr>
                <w:color w:val="000000"/>
                <w:sz w:val="22"/>
                <w:szCs w:val="22"/>
                <w:lang w:eastAsia="pt-BR"/>
              </w:rPr>
              <w:t>10,37</w:t>
            </w:r>
          </w:p>
        </w:tc>
        <w:tc>
          <w:tcPr>
            <w:tcW w:w="425" w:type="pct"/>
            <w:tcBorders>
              <w:top w:val="nil"/>
            </w:tcBorders>
            <w:noWrap/>
            <w:vAlign w:val="bottom"/>
            <w:hideMark/>
          </w:tcPr>
          <w:p w14:paraId="5EBE42F3" w14:textId="77777777" w:rsidR="007F23E9" w:rsidRPr="00D30A3E" w:rsidRDefault="007F23E9" w:rsidP="00505C85">
            <w:pPr>
              <w:jc w:val="right"/>
              <w:rPr>
                <w:color w:val="000000"/>
                <w:sz w:val="22"/>
                <w:szCs w:val="22"/>
                <w:lang w:eastAsia="pt-BR"/>
              </w:rPr>
            </w:pPr>
            <w:r w:rsidRPr="00D30A3E">
              <w:rPr>
                <w:color w:val="000000"/>
                <w:sz w:val="22"/>
                <w:szCs w:val="22"/>
                <w:lang w:eastAsia="pt-BR"/>
              </w:rPr>
              <w:t>10,50</w:t>
            </w:r>
          </w:p>
        </w:tc>
        <w:tc>
          <w:tcPr>
            <w:tcW w:w="438" w:type="pct"/>
            <w:tcBorders>
              <w:top w:val="nil"/>
            </w:tcBorders>
            <w:noWrap/>
            <w:vAlign w:val="bottom"/>
            <w:hideMark/>
          </w:tcPr>
          <w:p w14:paraId="441B5C03" w14:textId="77777777" w:rsidR="007F23E9" w:rsidRPr="00D30A3E" w:rsidRDefault="007F23E9" w:rsidP="00505C85">
            <w:pPr>
              <w:jc w:val="right"/>
              <w:rPr>
                <w:color w:val="000000"/>
                <w:sz w:val="22"/>
                <w:szCs w:val="22"/>
                <w:lang w:eastAsia="pt-BR"/>
              </w:rPr>
            </w:pPr>
            <w:r w:rsidRPr="00D30A3E">
              <w:rPr>
                <w:color w:val="000000"/>
                <w:sz w:val="22"/>
                <w:szCs w:val="22"/>
                <w:lang w:eastAsia="pt-BR"/>
              </w:rPr>
              <w:t>12,36</w:t>
            </w:r>
          </w:p>
        </w:tc>
        <w:tc>
          <w:tcPr>
            <w:tcW w:w="428" w:type="pct"/>
            <w:tcBorders>
              <w:top w:val="nil"/>
            </w:tcBorders>
            <w:noWrap/>
            <w:vAlign w:val="bottom"/>
            <w:hideMark/>
          </w:tcPr>
          <w:p w14:paraId="68A5C2F8" w14:textId="77777777" w:rsidR="007F23E9" w:rsidRPr="00D30A3E" w:rsidRDefault="007F23E9" w:rsidP="00505C85">
            <w:pPr>
              <w:jc w:val="right"/>
              <w:rPr>
                <w:color w:val="000000"/>
                <w:sz w:val="22"/>
                <w:szCs w:val="22"/>
                <w:lang w:eastAsia="pt-BR"/>
              </w:rPr>
            </w:pPr>
            <w:r w:rsidRPr="00D30A3E">
              <w:rPr>
                <w:color w:val="000000"/>
                <w:sz w:val="22"/>
                <w:szCs w:val="22"/>
                <w:lang w:eastAsia="pt-BR"/>
              </w:rPr>
              <w:t>12,31</w:t>
            </w:r>
          </w:p>
        </w:tc>
        <w:tc>
          <w:tcPr>
            <w:tcW w:w="428" w:type="pct"/>
            <w:tcBorders>
              <w:top w:val="nil"/>
            </w:tcBorders>
            <w:noWrap/>
            <w:vAlign w:val="bottom"/>
            <w:hideMark/>
          </w:tcPr>
          <w:p w14:paraId="3A3582CE" w14:textId="77777777" w:rsidR="007F23E9" w:rsidRPr="00D30A3E" w:rsidRDefault="007F23E9" w:rsidP="00505C85">
            <w:pPr>
              <w:jc w:val="right"/>
              <w:rPr>
                <w:color w:val="000000"/>
                <w:sz w:val="22"/>
                <w:szCs w:val="22"/>
                <w:lang w:eastAsia="pt-BR"/>
              </w:rPr>
            </w:pPr>
            <w:r w:rsidRPr="00D30A3E">
              <w:rPr>
                <w:color w:val="000000"/>
                <w:sz w:val="22"/>
                <w:szCs w:val="22"/>
                <w:lang w:eastAsia="pt-BR"/>
              </w:rPr>
              <w:t>5,90</w:t>
            </w:r>
          </w:p>
        </w:tc>
        <w:tc>
          <w:tcPr>
            <w:tcW w:w="428" w:type="pct"/>
            <w:tcBorders>
              <w:top w:val="nil"/>
            </w:tcBorders>
            <w:noWrap/>
            <w:vAlign w:val="bottom"/>
            <w:hideMark/>
          </w:tcPr>
          <w:p w14:paraId="31E7E317" w14:textId="77777777" w:rsidR="007F23E9" w:rsidRPr="00D30A3E" w:rsidRDefault="007F23E9" w:rsidP="00505C85">
            <w:pPr>
              <w:jc w:val="right"/>
              <w:rPr>
                <w:color w:val="000000"/>
                <w:sz w:val="22"/>
                <w:szCs w:val="22"/>
                <w:lang w:eastAsia="pt-BR"/>
              </w:rPr>
            </w:pPr>
            <w:r w:rsidRPr="00D30A3E">
              <w:rPr>
                <w:color w:val="000000"/>
                <w:sz w:val="22"/>
                <w:szCs w:val="22"/>
                <w:lang w:eastAsia="pt-BR"/>
              </w:rPr>
              <w:t>6,20</w:t>
            </w:r>
          </w:p>
        </w:tc>
        <w:tc>
          <w:tcPr>
            <w:tcW w:w="428" w:type="pct"/>
            <w:tcBorders>
              <w:top w:val="nil"/>
            </w:tcBorders>
            <w:noWrap/>
            <w:vAlign w:val="bottom"/>
            <w:hideMark/>
          </w:tcPr>
          <w:p w14:paraId="27FFC36C" w14:textId="77777777" w:rsidR="007F23E9" w:rsidRPr="00D30A3E" w:rsidRDefault="007F23E9" w:rsidP="00505C85">
            <w:pPr>
              <w:jc w:val="right"/>
              <w:rPr>
                <w:color w:val="000000"/>
                <w:sz w:val="22"/>
                <w:szCs w:val="22"/>
                <w:lang w:eastAsia="pt-BR"/>
              </w:rPr>
            </w:pPr>
            <w:r w:rsidRPr="00D30A3E">
              <w:rPr>
                <w:color w:val="000000"/>
                <w:sz w:val="22"/>
                <w:szCs w:val="22"/>
                <w:lang w:eastAsia="pt-BR"/>
              </w:rPr>
              <w:t>6,18</w:t>
            </w:r>
          </w:p>
        </w:tc>
        <w:tc>
          <w:tcPr>
            <w:tcW w:w="426" w:type="pct"/>
            <w:tcBorders>
              <w:top w:val="nil"/>
            </w:tcBorders>
            <w:noWrap/>
            <w:vAlign w:val="bottom"/>
            <w:hideMark/>
          </w:tcPr>
          <w:p w14:paraId="19F8C673" w14:textId="77777777" w:rsidR="007F23E9" w:rsidRPr="00D30A3E" w:rsidRDefault="007F23E9" w:rsidP="00505C85">
            <w:pPr>
              <w:jc w:val="right"/>
              <w:rPr>
                <w:color w:val="000000"/>
                <w:sz w:val="22"/>
                <w:szCs w:val="22"/>
                <w:lang w:eastAsia="pt-BR"/>
              </w:rPr>
            </w:pPr>
            <w:r w:rsidRPr="00D30A3E">
              <w:rPr>
                <w:color w:val="000000"/>
                <w:sz w:val="22"/>
                <w:szCs w:val="22"/>
                <w:lang w:eastAsia="pt-BR"/>
              </w:rPr>
              <w:t>5,91</w:t>
            </w:r>
          </w:p>
        </w:tc>
      </w:tr>
      <w:tr w:rsidR="00D30A3E" w:rsidRPr="00D30A3E" w14:paraId="6FAE0AE2" w14:textId="77777777" w:rsidTr="00DC1B8C">
        <w:trPr>
          <w:trHeight w:val="315"/>
        </w:trPr>
        <w:tc>
          <w:tcPr>
            <w:tcW w:w="1538" w:type="pct"/>
            <w:tcBorders>
              <w:bottom w:val="single" w:sz="8" w:space="0" w:color="auto"/>
            </w:tcBorders>
            <w:shd w:val="clear" w:color="auto" w:fill="A6A6A6" w:themeFill="background1" w:themeFillShade="A6"/>
            <w:noWrap/>
            <w:vAlign w:val="bottom"/>
            <w:hideMark/>
          </w:tcPr>
          <w:p w14:paraId="32C60C30" w14:textId="77777777" w:rsidR="007F23E9" w:rsidRPr="00D30A3E" w:rsidRDefault="007F23E9" w:rsidP="00505C85">
            <w:pPr>
              <w:rPr>
                <w:sz w:val="22"/>
                <w:szCs w:val="22"/>
                <w:lang w:eastAsia="en-US"/>
              </w:rPr>
            </w:pPr>
          </w:p>
        </w:tc>
        <w:tc>
          <w:tcPr>
            <w:tcW w:w="3462" w:type="pct"/>
            <w:gridSpan w:val="8"/>
            <w:tcBorders>
              <w:bottom w:val="single" w:sz="8" w:space="0" w:color="auto"/>
            </w:tcBorders>
            <w:shd w:val="clear" w:color="auto" w:fill="A6A6A6" w:themeFill="background1" w:themeFillShade="A6"/>
            <w:noWrap/>
            <w:vAlign w:val="bottom"/>
            <w:hideMark/>
          </w:tcPr>
          <w:p w14:paraId="72CE4EB3" w14:textId="77777777" w:rsidR="007F23E9" w:rsidRPr="00D30A3E" w:rsidRDefault="007F23E9" w:rsidP="00505C85">
            <w:pPr>
              <w:jc w:val="center"/>
              <w:rPr>
                <w:b/>
                <w:bCs/>
                <w:color w:val="000000"/>
                <w:sz w:val="22"/>
                <w:szCs w:val="22"/>
                <w:lang w:eastAsia="pt-BR"/>
              </w:rPr>
            </w:pPr>
            <w:r w:rsidRPr="00D30A3E">
              <w:rPr>
                <w:b/>
                <w:bCs/>
                <w:color w:val="000000"/>
                <w:sz w:val="22"/>
                <w:szCs w:val="22"/>
                <w:lang w:eastAsia="pt-BR"/>
              </w:rPr>
              <w:t>Pará</w:t>
            </w:r>
          </w:p>
        </w:tc>
      </w:tr>
      <w:tr w:rsidR="00D30A3E" w:rsidRPr="00D30A3E" w14:paraId="19F853B8" w14:textId="77777777" w:rsidTr="00DC1B8C">
        <w:trPr>
          <w:trHeight w:val="300"/>
        </w:trPr>
        <w:tc>
          <w:tcPr>
            <w:tcW w:w="1538" w:type="pct"/>
            <w:tcBorders>
              <w:top w:val="single" w:sz="8" w:space="0" w:color="auto"/>
              <w:bottom w:val="nil"/>
            </w:tcBorders>
            <w:noWrap/>
            <w:vAlign w:val="bottom"/>
            <w:hideMark/>
          </w:tcPr>
          <w:p w14:paraId="02E462A3" w14:textId="77777777" w:rsidR="007F23E9" w:rsidRPr="00D30A3E" w:rsidRDefault="007F23E9" w:rsidP="00505C85">
            <w:pPr>
              <w:rPr>
                <w:color w:val="000000"/>
                <w:sz w:val="22"/>
                <w:szCs w:val="22"/>
                <w:lang w:eastAsia="pt-BR"/>
              </w:rPr>
            </w:pPr>
            <w:r w:rsidRPr="00D30A3E">
              <w:rPr>
                <w:color w:val="000000"/>
                <w:sz w:val="22"/>
                <w:szCs w:val="22"/>
                <w:lang w:eastAsia="pt-BR"/>
              </w:rPr>
              <w:t>Agrícola</w:t>
            </w:r>
          </w:p>
        </w:tc>
        <w:tc>
          <w:tcPr>
            <w:tcW w:w="461" w:type="pct"/>
            <w:tcBorders>
              <w:top w:val="single" w:sz="8" w:space="0" w:color="auto"/>
              <w:bottom w:val="nil"/>
            </w:tcBorders>
            <w:noWrap/>
            <w:vAlign w:val="bottom"/>
            <w:hideMark/>
          </w:tcPr>
          <w:p w14:paraId="0EA8B54D" w14:textId="77777777" w:rsidR="007F23E9" w:rsidRPr="00D30A3E" w:rsidRDefault="007F23E9" w:rsidP="00505C85">
            <w:pPr>
              <w:jc w:val="right"/>
              <w:rPr>
                <w:color w:val="000000"/>
                <w:sz w:val="22"/>
                <w:szCs w:val="22"/>
                <w:lang w:eastAsia="pt-BR"/>
              </w:rPr>
            </w:pPr>
            <w:r w:rsidRPr="00D30A3E">
              <w:rPr>
                <w:color w:val="000000"/>
                <w:sz w:val="22"/>
                <w:szCs w:val="22"/>
                <w:lang w:eastAsia="pt-BR"/>
              </w:rPr>
              <w:t>1,20</w:t>
            </w:r>
          </w:p>
        </w:tc>
        <w:tc>
          <w:tcPr>
            <w:tcW w:w="425" w:type="pct"/>
            <w:tcBorders>
              <w:top w:val="single" w:sz="8" w:space="0" w:color="auto"/>
              <w:bottom w:val="nil"/>
            </w:tcBorders>
            <w:noWrap/>
            <w:vAlign w:val="bottom"/>
            <w:hideMark/>
          </w:tcPr>
          <w:p w14:paraId="793FF349" w14:textId="77777777" w:rsidR="007F23E9" w:rsidRPr="00D30A3E" w:rsidRDefault="007F23E9" w:rsidP="00505C85">
            <w:pPr>
              <w:jc w:val="right"/>
              <w:rPr>
                <w:color w:val="000000"/>
                <w:sz w:val="22"/>
                <w:szCs w:val="22"/>
                <w:lang w:eastAsia="pt-BR"/>
              </w:rPr>
            </w:pPr>
            <w:r w:rsidRPr="00D30A3E">
              <w:rPr>
                <w:color w:val="000000"/>
                <w:sz w:val="22"/>
                <w:szCs w:val="22"/>
                <w:lang w:eastAsia="pt-BR"/>
              </w:rPr>
              <w:t>4,73</w:t>
            </w:r>
          </w:p>
        </w:tc>
        <w:tc>
          <w:tcPr>
            <w:tcW w:w="438" w:type="pct"/>
            <w:tcBorders>
              <w:top w:val="single" w:sz="8" w:space="0" w:color="auto"/>
              <w:bottom w:val="nil"/>
            </w:tcBorders>
            <w:noWrap/>
            <w:vAlign w:val="bottom"/>
            <w:hideMark/>
          </w:tcPr>
          <w:p w14:paraId="25651DB9" w14:textId="77777777" w:rsidR="007F23E9" w:rsidRPr="00D30A3E" w:rsidRDefault="007F23E9" w:rsidP="00505C85">
            <w:pPr>
              <w:jc w:val="right"/>
              <w:rPr>
                <w:color w:val="000000"/>
                <w:sz w:val="22"/>
                <w:szCs w:val="22"/>
                <w:lang w:eastAsia="pt-BR"/>
              </w:rPr>
            </w:pPr>
            <w:r w:rsidRPr="00D30A3E">
              <w:rPr>
                <w:color w:val="000000"/>
                <w:sz w:val="22"/>
                <w:szCs w:val="22"/>
                <w:lang w:eastAsia="pt-BR"/>
              </w:rPr>
              <w:t>6,10</w:t>
            </w:r>
          </w:p>
        </w:tc>
        <w:tc>
          <w:tcPr>
            <w:tcW w:w="428" w:type="pct"/>
            <w:tcBorders>
              <w:top w:val="single" w:sz="8" w:space="0" w:color="auto"/>
              <w:bottom w:val="nil"/>
            </w:tcBorders>
            <w:noWrap/>
            <w:vAlign w:val="bottom"/>
            <w:hideMark/>
          </w:tcPr>
          <w:p w14:paraId="333212C2" w14:textId="77777777" w:rsidR="007F23E9" w:rsidRPr="00D30A3E" w:rsidRDefault="007F23E9" w:rsidP="00505C85">
            <w:pPr>
              <w:jc w:val="right"/>
              <w:rPr>
                <w:color w:val="000000"/>
                <w:sz w:val="22"/>
                <w:szCs w:val="22"/>
                <w:lang w:eastAsia="pt-BR"/>
              </w:rPr>
            </w:pPr>
            <w:r w:rsidRPr="00D30A3E">
              <w:rPr>
                <w:color w:val="000000"/>
                <w:sz w:val="22"/>
                <w:szCs w:val="22"/>
                <w:lang w:eastAsia="pt-BR"/>
              </w:rPr>
              <w:t>5,85</w:t>
            </w:r>
          </w:p>
        </w:tc>
        <w:tc>
          <w:tcPr>
            <w:tcW w:w="428" w:type="pct"/>
            <w:tcBorders>
              <w:top w:val="single" w:sz="8" w:space="0" w:color="auto"/>
              <w:bottom w:val="nil"/>
            </w:tcBorders>
            <w:noWrap/>
            <w:vAlign w:val="bottom"/>
            <w:hideMark/>
          </w:tcPr>
          <w:p w14:paraId="23065A12" w14:textId="77777777" w:rsidR="007F23E9" w:rsidRPr="00D30A3E" w:rsidRDefault="007F23E9" w:rsidP="00505C85">
            <w:pPr>
              <w:jc w:val="right"/>
              <w:rPr>
                <w:color w:val="000000"/>
                <w:sz w:val="22"/>
                <w:szCs w:val="22"/>
                <w:lang w:eastAsia="pt-BR"/>
              </w:rPr>
            </w:pPr>
            <w:r w:rsidRPr="00D30A3E">
              <w:rPr>
                <w:color w:val="000000"/>
                <w:sz w:val="22"/>
                <w:szCs w:val="22"/>
                <w:lang w:eastAsia="pt-BR"/>
              </w:rPr>
              <w:t>10,16</w:t>
            </w:r>
          </w:p>
        </w:tc>
        <w:tc>
          <w:tcPr>
            <w:tcW w:w="428" w:type="pct"/>
            <w:tcBorders>
              <w:top w:val="single" w:sz="8" w:space="0" w:color="auto"/>
              <w:bottom w:val="nil"/>
            </w:tcBorders>
            <w:noWrap/>
            <w:vAlign w:val="bottom"/>
            <w:hideMark/>
          </w:tcPr>
          <w:p w14:paraId="45BA23DA" w14:textId="77777777" w:rsidR="007F23E9" w:rsidRPr="00D30A3E" w:rsidRDefault="007F23E9" w:rsidP="00505C85">
            <w:pPr>
              <w:jc w:val="right"/>
              <w:rPr>
                <w:color w:val="000000"/>
                <w:sz w:val="22"/>
                <w:szCs w:val="22"/>
                <w:lang w:eastAsia="pt-BR"/>
              </w:rPr>
            </w:pPr>
            <w:r w:rsidRPr="00D30A3E">
              <w:rPr>
                <w:color w:val="000000"/>
                <w:sz w:val="22"/>
                <w:szCs w:val="22"/>
                <w:lang w:eastAsia="pt-BR"/>
              </w:rPr>
              <w:t>19,19</w:t>
            </w:r>
          </w:p>
        </w:tc>
        <w:tc>
          <w:tcPr>
            <w:tcW w:w="428" w:type="pct"/>
            <w:tcBorders>
              <w:top w:val="single" w:sz="8" w:space="0" w:color="auto"/>
              <w:bottom w:val="nil"/>
            </w:tcBorders>
            <w:noWrap/>
            <w:vAlign w:val="bottom"/>
            <w:hideMark/>
          </w:tcPr>
          <w:p w14:paraId="10FE4EB2" w14:textId="77777777" w:rsidR="007F23E9" w:rsidRPr="00D30A3E" w:rsidRDefault="007F23E9" w:rsidP="00505C85">
            <w:pPr>
              <w:jc w:val="right"/>
              <w:rPr>
                <w:color w:val="000000"/>
                <w:sz w:val="22"/>
                <w:szCs w:val="22"/>
                <w:lang w:eastAsia="pt-BR"/>
              </w:rPr>
            </w:pPr>
            <w:r w:rsidRPr="00D30A3E">
              <w:rPr>
                <w:color w:val="000000"/>
                <w:sz w:val="22"/>
                <w:szCs w:val="22"/>
                <w:lang w:eastAsia="pt-BR"/>
              </w:rPr>
              <w:t>19,53</w:t>
            </w:r>
          </w:p>
        </w:tc>
        <w:tc>
          <w:tcPr>
            <w:tcW w:w="426" w:type="pct"/>
            <w:tcBorders>
              <w:top w:val="single" w:sz="8" w:space="0" w:color="auto"/>
              <w:bottom w:val="nil"/>
            </w:tcBorders>
            <w:noWrap/>
            <w:vAlign w:val="bottom"/>
            <w:hideMark/>
          </w:tcPr>
          <w:p w14:paraId="071DB6BE" w14:textId="77777777" w:rsidR="007F23E9" w:rsidRPr="00D30A3E" w:rsidRDefault="007F23E9" w:rsidP="00505C85">
            <w:pPr>
              <w:jc w:val="right"/>
              <w:rPr>
                <w:color w:val="000000"/>
                <w:sz w:val="22"/>
                <w:szCs w:val="22"/>
                <w:lang w:eastAsia="pt-BR"/>
              </w:rPr>
            </w:pPr>
            <w:r w:rsidRPr="00D30A3E">
              <w:rPr>
                <w:color w:val="000000"/>
                <w:sz w:val="22"/>
                <w:szCs w:val="22"/>
                <w:lang w:eastAsia="pt-BR"/>
              </w:rPr>
              <w:t>17,70</w:t>
            </w:r>
          </w:p>
        </w:tc>
      </w:tr>
      <w:tr w:rsidR="00D30A3E" w:rsidRPr="00D30A3E" w14:paraId="4A80D455" w14:textId="77777777" w:rsidTr="00DC1B8C">
        <w:trPr>
          <w:trHeight w:val="300"/>
        </w:trPr>
        <w:tc>
          <w:tcPr>
            <w:tcW w:w="1538" w:type="pct"/>
            <w:tcBorders>
              <w:top w:val="nil"/>
              <w:bottom w:val="nil"/>
            </w:tcBorders>
            <w:shd w:val="clear" w:color="auto" w:fill="D9D9D9"/>
            <w:noWrap/>
            <w:vAlign w:val="bottom"/>
            <w:hideMark/>
          </w:tcPr>
          <w:p w14:paraId="66B07243" w14:textId="77777777" w:rsidR="007F23E9" w:rsidRPr="00D30A3E" w:rsidRDefault="007F23E9" w:rsidP="00505C85">
            <w:pPr>
              <w:rPr>
                <w:color w:val="000000"/>
                <w:sz w:val="22"/>
                <w:szCs w:val="22"/>
                <w:lang w:eastAsia="pt-BR"/>
              </w:rPr>
            </w:pPr>
            <w:r w:rsidRPr="00D30A3E">
              <w:rPr>
                <w:color w:val="000000"/>
                <w:sz w:val="22"/>
                <w:szCs w:val="22"/>
                <w:lang w:eastAsia="pt-BR"/>
              </w:rPr>
              <w:t>Indústria</w:t>
            </w:r>
          </w:p>
        </w:tc>
        <w:tc>
          <w:tcPr>
            <w:tcW w:w="461" w:type="pct"/>
            <w:tcBorders>
              <w:top w:val="nil"/>
              <w:bottom w:val="nil"/>
            </w:tcBorders>
            <w:shd w:val="clear" w:color="auto" w:fill="D9D9D9"/>
            <w:noWrap/>
            <w:vAlign w:val="bottom"/>
            <w:hideMark/>
          </w:tcPr>
          <w:p w14:paraId="1A1C6BEE" w14:textId="77777777" w:rsidR="007F23E9" w:rsidRPr="00D30A3E" w:rsidRDefault="007F23E9" w:rsidP="00505C85">
            <w:pPr>
              <w:jc w:val="right"/>
              <w:rPr>
                <w:color w:val="000000"/>
                <w:sz w:val="22"/>
                <w:szCs w:val="22"/>
                <w:lang w:eastAsia="pt-BR"/>
              </w:rPr>
            </w:pPr>
            <w:r w:rsidRPr="00D30A3E">
              <w:rPr>
                <w:color w:val="000000"/>
                <w:sz w:val="22"/>
                <w:szCs w:val="22"/>
                <w:lang w:eastAsia="pt-BR"/>
              </w:rPr>
              <w:t>41,73</w:t>
            </w:r>
          </w:p>
        </w:tc>
        <w:tc>
          <w:tcPr>
            <w:tcW w:w="425" w:type="pct"/>
            <w:tcBorders>
              <w:top w:val="nil"/>
              <w:bottom w:val="nil"/>
            </w:tcBorders>
            <w:shd w:val="clear" w:color="auto" w:fill="D9D9D9"/>
            <w:noWrap/>
            <w:vAlign w:val="bottom"/>
            <w:hideMark/>
          </w:tcPr>
          <w:p w14:paraId="4F65390A" w14:textId="77777777" w:rsidR="007F23E9" w:rsidRPr="00D30A3E" w:rsidRDefault="007F23E9" w:rsidP="00505C85">
            <w:pPr>
              <w:jc w:val="right"/>
              <w:rPr>
                <w:color w:val="000000"/>
                <w:sz w:val="22"/>
                <w:szCs w:val="22"/>
                <w:lang w:eastAsia="pt-BR"/>
              </w:rPr>
            </w:pPr>
            <w:r w:rsidRPr="00D30A3E">
              <w:rPr>
                <w:color w:val="000000"/>
                <w:sz w:val="22"/>
                <w:szCs w:val="22"/>
                <w:lang w:eastAsia="pt-BR"/>
              </w:rPr>
              <w:t>44,27</w:t>
            </w:r>
          </w:p>
        </w:tc>
        <w:tc>
          <w:tcPr>
            <w:tcW w:w="438" w:type="pct"/>
            <w:tcBorders>
              <w:top w:val="nil"/>
              <w:bottom w:val="nil"/>
            </w:tcBorders>
            <w:shd w:val="clear" w:color="auto" w:fill="D9D9D9"/>
            <w:noWrap/>
            <w:vAlign w:val="bottom"/>
            <w:hideMark/>
          </w:tcPr>
          <w:p w14:paraId="794A1B95" w14:textId="77777777" w:rsidR="007F23E9" w:rsidRPr="00D30A3E" w:rsidRDefault="007F23E9" w:rsidP="00505C85">
            <w:pPr>
              <w:jc w:val="right"/>
              <w:rPr>
                <w:color w:val="000000"/>
                <w:sz w:val="22"/>
                <w:szCs w:val="22"/>
                <w:lang w:eastAsia="pt-BR"/>
              </w:rPr>
            </w:pPr>
            <w:r w:rsidRPr="00D30A3E">
              <w:rPr>
                <w:color w:val="000000"/>
                <w:sz w:val="22"/>
                <w:szCs w:val="22"/>
                <w:lang w:eastAsia="pt-BR"/>
              </w:rPr>
              <w:t>25,28</w:t>
            </w:r>
          </w:p>
        </w:tc>
        <w:tc>
          <w:tcPr>
            <w:tcW w:w="428" w:type="pct"/>
            <w:tcBorders>
              <w:top w:val="nil"/>
              <w:bottom w:val="nil"/>
            </w:tcBorders>
            <w:noWrap/>
            <w:vAlign w:val="bottom"/>
            <w:hideMark/>
          </w:tcPr>
          <w:p w14:paraId="2B111300" w14:textId="77777777" w:rsidR="007F23E9" w:rsidRPr="00D30A3E" w:rsidRDefault="007F23E9" w:rsidP="00505C85">
            <w:pPr>
              <w:jc w:val="right"/>
              <w:rPr>
                <w:color w:val="000000"/>
                <w:sz w:val="22"/>
                <w:szCs w:val="22"/>
                <w:lang w:eastAsia="pt-BR"/>
              </w:rPr>
            </w:pPr>
            <w:r w:rsidRPr="00D30A3E">
              <w:rPr>
                <w:color w:val="000000"/>
                <w:sz w:val="22"/>
                <w:szCs w:val="22"/>
                <w:lang w:eastAsia="pt-BR"/>
              </w:rPr>
              <w:t>20,12</w:t>
            </w:r>
          </w:p>
        </w:tc>
        <w:tc>
          <w:tcPr>
            <w:tcW w:w="428" w:type="pct"/>
            <w:tcBorders>
              <w:top w:val="nil"/>
              <w:bottom w:val="nil"/>
            </w:tcBorders>
            <w:shd w:val="clear" w:color="auto" w:fill="D9D9D9"/>
            <w:noWrap/>
            <w:vAlign w:val="bottom"/>
            <w:hideMark/>
          </w:tcPr>
          <w:p w14:paraId="4912A1D2" w14:textId="77777777" w:rsidR="007F23E9" w:rsidRPr="00D30A3E" w:rsidRDefault="007F23E9" w:rsidP="00505C85">
            <w:pPr>
              <w:jc w:val="right"/>
              <w:rPr>
                <w:color w:val="000000"/>
                <w:sz w:val="22"/>
                <w:szCs w:val="22"/>
                <w:lang w:eastAsia="pt-BR"/>
              </w:rPr>
            </w:pPr>
            <w:r w:rsidRPr="00D30A3E">
              <w:rPr>
                <w:color w:val="000000"/>
                <w:sz w:val="22"/>
                <w:szCs w:val="22"/>
                <w:lang w:eastAsia="pt-BR"/>
              </w:rPr>
              <w:t>28,52</w:t>
            </w:r>
          </w:p>
        </w:tc>
        <w:tc>
          <w:tcPr>
            <w:tcW w:w="428" w:type="pct"/>
            <w:tcBorders>
              <w:top w:val="nil"/>
              <w:bottom w:val="nil"/>
            </w:tcBorders>
            <w:shd w:val="clear" w:color="auto" w:fill="D9D9D9"/>
            <w:noWrap/>
            <w:vAlign w:val="bottom"/>
            <w:hideMark/>
          </w:tcPr>
          <w:p w14:paraId="6AD6BF51" w14:textId="77777777" w:rsidR="007F23E9" w:rsidRPr="00D30A3E" w:rsidRDefault="007F23E9" w:rsidP="00505C85">
            <w:pPr>
              <w:jc w:val="right"/>
              <w:rPr>
                <w:color w:val="000000"/>
                <w:sz w:val="22"/>
                <w:szCs w:val="22"/>
                <w:lang w:eastAsia="pt-BR"/>
              </w:rPr>
            </w:pPr>
            <w:r w:rsidRPr="00D30A3E">
              <w:rPr>
                <w:color w:val="000000"/>
                <w:sz w:val="22"/>
                <w:szCs w:val="22"/>
                <w:lang w:eastAsia="pt-BR"/>
              </w:rPr>
              <w:t>25,63</w:t>
            </w:r>
          </w:p>
        </w:tc>
        <w:tc>
          <w:tcPr>
            <w:tcW w:w="428" w:type="pct"/>
            <w:tcBorders>
              <w:top w:val="nil"/>
              <w:bottom w:val="nil"/>
            </w:tcBorders>
            <w:noWrap/>
            <w:vAlign w:val="bottom"/>
            <w:hideMark/>
          </w:tcPr>
          <w:p w14:paraId="4B7671F3" w14:textId="77777777" w:rsidR="007F23E9" w:rsidRPr="00D30A3E" w:rsidRDefault="007F23E9" w:rsidP="00505C85">
            <w:pPr>
              <w:jc w:val="right"/>
              <w:rPr>
                <w:color w:val="000000"/>
                <w:sz w:val="22"/>
                <w:szCs w:val="22"/>
                <w:lang w:eastAsia="pt-BR"/>
              </w:rPr>
            </w:pPr>
            <w:r w:rsidRPr="00D30A3E">
              <w:rPr>
                <w:color w:val="000000"/>
                <w:sz w:val="22"/>
                <w:szCs w:val="22"/>
                <w:lang w:eastAsia="pt-BR"/>
              </w:rPr>
              <w:t>17,04</w:t>
            </w:r>
          </w:p>
        </w:tc>
        <w:tc>
          <w:tcPr>
            <w:tcW w:w="426" w:type="pct"/>
            <w:tcBorders>
              <w:top w:val="nil"/>
              <w:bottom w:val="nil"/>
            </w:tcBorders>
            <w:noWrap/>
            <w:vAlign w:val="bottom"/>
            <w:hideMark/>
          </w:tcPr>
          <w:p w14:paraId="19FE43EE" w14:textId="77777777" w:rsidR="007F23E9" w:rsidRPr="00D30A3E" w:rsidRDefault="007F23E9" w:rsidP="00505C85">
            <w:pPr>
              <w:jc w:val="right"/>
              <w:rPr>
                <w:color w:val="000000"/>
                <w:sz w:val="22"/>
                <w:szCs w:val="22"/>
                <w:lang w:eastAsia="pt-BR"/>
              </w:rPr>
            </w:pPr>
            <w:r w:rsidRPr="00D30A3E">
              <w:rPr>
                <w:color w:val="000000"/>
                <w:sz w:val="22"/>
                <w:szCs w:val="22"/>
                <w:lang w:eastAsia="pt-BR"/>
              </w:rPr>
              <w:t>15,76</w:t>
            </w:r>
          </w:p>
        </w:tc>
      </w:tr>
      <w:tr w:rsidR="00D30A3E" w:rsidRPr="00D30A3E" w14:paraId="3EBDBE97" w14:textId="77777777" w:rsidTr="00DC1B8C">
        <w:trPr>
          <w:trHeight w:val="300"/>
        </w:trPr>
        <w:tc>
          <w:tcPr>
            <w:tcW w:w="1538" w:type="pct"/>
            <w:tcBorders>
              <w:top w:val="nil"/>
              <w:bottom w:val="nil"/>
            </w:tcBorders>
            <w:noWrap/>
            <w:vAlign w:val="bottom"/>
            <w:hideMark/>
          </w:tcPr>
          <w:p w14:paraId="4B5E96AC" w14:textId="77777777" w:rsidR="007F23E9" w:rsidRPr="00D30A3E" w:rsidRDefault="007F23E9" w:rsidP="00505C85">
            <w:pPr>
              <w:rPr>
                <w:color w:val="000000"/>
                <w:sz w:val="22"/>
                <w:szCs w:val="22"/>
                <w:lang w:eastAsia="pt-BR"/>
              </w:rPr>
            </w:pPr>
            <w:r w:rsidRPr="00D30A3E">
              <w:rPr>
                <w:color w:val="000000"/>
                <w:sz w:val="22"/>
                <w:szCs w:val="22"/>
                <w:lang w:eastAsia="pt-BR"/>
              </w:rPr>
              <w:t>Construção</w:t>
            </w:r>
          </w:p>
        </w:tc>
        <w:tc>
          <w:tcPr>
            <w:tcW w:w="461" w:type="pct"/>
            <w:tcBorders>
              <w:top w:val="nil"/>
              <w:bottom w:val="nil"/>
            </w:tcBorders>
            <w:noWrap/>
            <w:vAlign w:val="bottom"/>
            <w:hideMark/>
          </w:tcPr>
          <w:p w14:paraId="06C71D81" w14:textId="77777777" w:rsidR="007F23E9" w:rsidRPr="00D30A3E" w:rsidRDefault="007F23E9" w:rsidP="00505C85">
            <w:pPr>
              <w:jc w:val="right"/>
              <w:rPr>
                <w:color w:val="000000"/>
                <w:sz w:val="22"/>
                <w:szCs w:val="22"/>
                <w:lang w:eastAsia="pt-BR"/>
              </w:rPr>
            </w:pPr>
            <w:r w:rsidRPr="00D30A3E">
              <w:rPr>
                <w:color w:val="000000"/>
                <w:sz w:val="22"/>
                <w:szCs w:val="22"/>
                <w:lang w:eastAsia="pt-BR"/>
              </w:rPr>
              <w:t>7,91</w:t>
            </w:r>
          </w:p>
        </w:tc>
        <w:tc>
          <w:tcPr>
            <w:tcW w:w="425" w:type="pct"/>
            <w:tcBorders>
              <w:top w:val="nil"/>
              <w:bottom w:val="nil"/>
            </w:tcBorders>
            <w:noWrap/>
            <w:vAlign w:val="bottom"/>
            <w:hideMark/>
          </w:tcPr>
          <w:p w14:paraId="1FC38940" w14:textId="77777777" w:rsidR="007F23E9" w:rsidRPr="00D30A3E" w:rsidRDefault="007F23E9" w:rsidP="00505C85">
            <w:pPr>
              <w:jc w:val="right"/>
              <w:rPr>
                <w:color w:val="000000"/>
                <w:sz w:val="22"/>
                <w:szCs w:val="22"/>
                <w:lang w:eastAsia="pt-BR"/>
              </w:rPr>
            </w:pPr>
            <w:r w:rsidRPr="00D30A3E">
              <w:rPr>
                <w:color w:val="000000"/>
                <w:sz w:val="22"/>
                <w:szCs w:val="22"/>
                <w:lang w:eastAsia="pt-BR"/>
              </w:rPr>
              <w:t>7,88</w:t>
            </w:r>
          </w:p>
        </w:tc>
        <w:tc>
          <w:tcPr>
            <w:tcW w:w="438" w:type="pct"/>
            <w:tcBorders>
              <w:top w:val="nil"/>
              <w:bottom w:val="nil"/>
            </w:tcBorders>
            <w:noWrap/>
            <w:vAlign w:val="bottom"/>
            <w:hideMark/>
          </w:tcPr>
          <w:p w14:paraId="2B75163F" w14:textId="77777777" w:rsidR="007F23E9" w:rsidRPr="00D30A3E" w:rsidRDefault="007F23E9" w:rsidP="00505C85">
            <w:pPr>
              <w:jc w:val="right"/>
              <w:rPr>
                <w:color w:val="000000"/>
                <w:sz w:val="22"/>
                <w:szCs w:val="22"/>
                <w:lang w:eastAsia="pt-BR"/>
              </w:rPr>
            </w:pPr>
            <w:r w:rsidRPr="00D30A3E">
              <w:rPr>
                <w:color w:val="000000"/>
                <w:sz w:val="22"/>
                <w:szCs w:val="22"/>
                <w:lang w:eastAsia="pt-BR"/>
              </w:rPr>
              <w:t>10,34</w:t>
            </w:r>
          </w:p>
        </w:tc>
        <w:tc>
          <w:tcPr>
            <w:tcW w:w="428" w:type="pct"/>
            <w:tcBorders>
              <w:top w:val="nil"/>
              <w:bottom w:val="nil"/>
            </w:tcBorders>
            <w:noWrap/>
            <w:vAlign w:val="bottom"/>
            <w:hideMark/>
          </w:tcPr>
          <w:p w14:paraId="45E338FE" w14:textId="77777777" w:rsidR="007F23E9" w:rsidRPr="00D30A3E" w:rsidRDefault="007F23E9" w:rsidP="00505C85">
            <w:pPr>
              <w:jc w:val="right"/>
              <w:rPr>
                <w:color w:val="000000"/>
                <w:sz w:val="22"/>
                <w:szCs w:val="22"/>
                <w:lang w:eastAsia="pt-BR"/>
              </w:rPr>
            </w:pPr>
            <w:r w:rsidRPr="00D30A3E">
              <w:rPr>
                <w:color w:val="000000"/>
                <w:sz w:val="22"/>
                <w:szCs w:val="22"/>
                <w:lang w:eastAsia="pt-BR"/>
              </w:rPr>
              <w:t>13,45</w:t>
            </w:r>
          </w:p>
        </w:tc>
        <w:tc>
          <w:tcPr>
            <w:tcW w:w="428" w:type="pct"/>
            <w:tcBorders>
              <w:top w:val="nil"/>
              <w:bottom w:val="nil"/>
            </w:tcBorders>
            <w:noWrap/>
            <w:vAlign w:val="bottom"/>
            <w:hideMark/>
          </w:tcPr>
          <w:p w14:paraId="390E3467" w14:textId="77777777" w:rsidR="007F23E9" w:rsidRPr="00D30A3E" w:rsidRDefault="007F23E9" w:rsidP="00505C85">
            <w:pPr>
              <w:jc w:val="right"/>
              <w:rPr>
                <w:color w:val="000000"/>
                <w:sz w:val="22"/>
                <w:szCs w:val="22"/>
                <w:lang w:eastAsia="pt-BR"/>
              </w:rPr>
            </w:pPr>
            <w:r w:rsidRPr="00D30A3E">
              <w:rPr>
                <w:color w:val="000000"/>
                <w:sz w:val="22"/>
                <w:szCs w:val="22"/>
                <w:lang w:eastAsia="pt-BR"/>
              </w:rPr>
              <w:t>7,84</w:t>
            </w:r>
          </w:p>
        </w:tc>
        <w:tc>
          <w:tcPr>
            <w:tcW w:w="428" w:type="pct"/>
            <w:tcBorders>
              <w:top w:val="nil"/>
              <w:bottom w:val="nil"/>
            </w:tcBorders>
            <w:noWrap/>
            <w:vAlign w:val="bottom"/>
            <w:hideMark/>
          </w:tcPr>
          <w:p w14:paraId="70FD1BDF" w14:textId="77777777" w:rsidR="007F23E9" w:rsidRPr="00D30A3E" w:rsidRDefault="007F23E9" w:rsidP="00505C85">
            <w:pPr>
              <w:jc w:val="right"/>
              <w:rPr>
                <w:color w:val="000000"/>
                <w:sz w:val="22"/>
                <w:szCs w:val="22"/>
                <w:lang w:eastAsia="pt-BR"/>
              </w:rPr>
            </w:pPr>
            <w:r w:rsidRPr="00D30A3E">
              <w:rPr>
                <w:color w:val="000000"/>
                <w:sz w:val="22"/>
                <w:szCs w:val="22"/>
                <w:lang w:eastAsia="pt-BR"/>
              </w:rPr>
              <w:t>6,67</w:t>
            </w:r>
          </w:p>
        </w:tc>
        <w:tc>
          <w:tcPr>
            <w:tcW w:w="428" w:type="pct"/>
            <w:tcBorders>
              <w:top w:val="nil"/>
              <w:bottom w:val="nil"/>
            </w:tcBorders>
            <w:noWrap/>
            <w:vAlign w:val="bottom"/>
            <w:hideMark/>
          </w:tcPr>
          <w:p w14:paraId="39232CA7" w14:textId="77777777" w:rsidR="007F23E9" w:rsidRPr="00D30A3E" w:rsidRDefault="007F23E9" w:rsidP="00505C85">
            <w:pPr>
              <w:jc w:val="right"/>
              <w:rPr>
                <w:color w:val="000000"/>
                <w:sz w:val="22"/>
                <w:szCs w:val="22"/>
                <w:lang w:eastAsia="pt-BR"/>
              </w:rPr>
            </w:pPr>
            <w:r w:rsidRPr="00D30A3E">
              <w:rPr>
                <w:color w:val="000000"/>
                <w:sz w:val="22"/>
                <w:szCs w:val="22"/>
                <w:lang w:eastAsia="pt-BR"/>
              </w:rPr>
              <w:t>8,78</w:t>
            </w:r>
          </w:p>
        </w:tc>
        <w:tc>
          <w:tcPr>
            <w:tcW w:w="426" w:type="pct"/>
            <w:tcBorders>
              <w:top w:val="nil"/>
              <w:bottom w:val="nil"/>
            </w:tcBorders>
            <w:noWrap/>
            <w:vAlign w:val="bottom"/>
            <w:hideMark/>
          </w:tcPr>
          <w:p w14:paraId="1574D937" w14:textId="77777777" w:rsidR="007F23E9" w:rsidRPr="00D30A3E" w:rsidRDefault="007F23E9" w:rsidP="00505C85">
            <w:pPr>
              <w:jc w:val="right"/>
              <w:rPr>
                <w:color w:val="000000"/>
                <w:sz w:val="22"/>
                <w:szCs w:val="22"/>
                <w:lang w:eastAsia="pt-BR"/>
              </w:rPr>
            </w:pPr>
            <w:r w:rsidRPr="00D30A3E">
              <w:rPr>
                <w:color w:val="000000"/>
                <w:sz w:val="22"/>
                <w:szCs w:val="22"/>
                <w:lang w:eastAsia="pt-BR"/>
              </w:rPr>
              <w:t>12,79</w:t>
            </w:r>
          </w:p>
        </w:tc>
      </w:tr>
      <w:tr w:rsidR="00D30A3E" w:rsidRPr="00D30A3E" w14:paraId="26E4158D" w14:textId="77777777" w:rsidTr="00DC1B8C">
        <w:trPr>
          <w:trHeight w:val="300"/>
        </w:trPr>
        <w:tc>
          <w:tcPr>
            <w:tcW w:w="1538" w:type="pct"/>
            <w:tcBorders>
              <w:top w:val="nil"/>
              <w:bottom w:val="nil"/>
            </w:tcBorders>
            <w:shd w:val="clear" w:color="auto" w:fill="D9D9D9"/>
            <w:noWrap/>
            <w:vAlign w:val="bottom"/>
            <w:hideMark/>
          </w:tcPr>
          <w:p w14:paraId="104575C2" w14:textId="77777777" w:rsidR="007F23E9" w:rsidRPr="00D30A3E" w:rsidRDefault="007F23E9" w:rsidP="00505C85">
            <w:pPr>
              <w:rPr>
                <w:color w:val="000000"/>
                <w:sz w:val="22"/>
                <w:szCs w:val="22"/>
                <w:lang w:eastAsia="pt-BR"/>
              </w:rPr>
            </w:pPr>
            <w:r w:rsidRPr="00D30A3E">
              <w:rPr>
                <w:color w:val="000000"/>
                <w:sz w:val="22"/>
                <w:szCs w:val="22"/>
                <w:lang w:eastAsia="pt-BR"/>
              </w:rPr>
              <w:t xml:space="preserve">Comércio  </w:t>
            </w:r>
          </w:p>
        </w:tc>
        <w:tc>
          <w:tcPr>
            <w:tcW w:w="461" w:type="pct"/>
            <w:tcBorders>
              <w:top w:val="nil"/>
              <w:bottom w:val="nil"/>
            </w:tcBorders>
            <w:shd w:val="clear" w:color="auto" w:fill="D9D9D9"/>
            <w:noWrap/>
            <w:vAlign w:val="bottom"/>
            <w:hideMark/>
          </w:tcPr>
          <w:p w14:paraId="53C35137" w14:textId="77777777" w:rsidR="007F23E9" w:rsidRPr="00D30A3E" w:rsidRDefault="007F23E9" w:rsidP="00505C85">
            <w:pPr>
              <w:jc w:val="right"/>
              <w:rPr>
                <w:color w:val="000000"/>
                <w:sz w:val="22"/>
                <w:szCs w:val="22"/>
                <w:lang w:eastAsia="pt-BR"/>
              </w:rPr>
            </w:pPr>
            <w:r w:rsidRPr="00D30A3E">
              <w:rPr>
                <w:color w:val="000000"/>
                <w:sz w:val="22"/>
                <w:szCs w:val="22"/>
                <w:lang w:eastAsia="pt-BR"/>
              </w:rPr>
              <w:t>19,66</w:t>
            </w:r>
          </w:p>
        </w:tc>
        <w:tc>
          <w:tcPr>
            <w:tcW w:w="425" w:type="pct"/>
            <w:tcBorders>
              <w:top w:val="nil"/>
              <w:bottom w:val="nil"/>
            </w:tcBorders>
            <w:shd w:val="clear" w:color="auto" w:fill="D9D9D9"/>
            <w:noWrap/>
            <w:vAlign w:val="bottom"/>
            <w:hideMark/>
          </w:tcPr>
          <w:p w14:paraId="070F9E99" w14:textId="77777777" w:rsidR="007F23E9" w:rsidRPr="00D30A3E" w:rsidRDefault="007F23E9" w:rsidP="00505C85">
            <w:pPr>
              <w:jc w:val="right"/>
              <w:rPr>
                <w:color w:val="000000"/>
                <w:sz w:val="22"/>
                <w:szCs w:val="22"/>
                <w:lang w:eastAsia="pt-BR"/>
              </w:rPr>
            </w:pPr>
            <w:r w:rsidRPr="00D30A3E">
              <w:rPr>
                <w:color w:val="000000"/>
                <w:sz w:val="22"/>
                <w:szCs w:val="22"/>
                <w:lang w:eastAsia="pt-BR"/>
              </w:rPr>
              <w:t>19,05</w:t>
            </w:r>
          </w:p>
        </w:tc>
        <w:tc>
          <w:tcPr>
            <w:tcW w:w="438" w:type="pct"/>
            <w:tcBorders>
              <w:top w:val="nil"/>
              <w:bottom w:val="nil"/>
            </w:tcBorders>
            <w:shd w:val="clear" w:color="auto" w:fill="D9D9D9"/>
            <w:noWrap/>
            <w:vAlign w:val="bottom"/>
            <w:hideMark/>
          </w:tcPr>
          <w:p w14:paraId="7D441178" w14:textId="77777777" w:rsidR="007F23E9" w:rsidRPr="00D30A3E" w:rsidRDefault="007F23E9" w:rsidP="00505C85">
            <w:pPr>
              <w:jc w:val="right"/>
              <w:rPr>
                <w:color w:val="000000"/>
                <w:sz w:val="22"/>
                <w:szCs w:val="22"/>
                <w:lang w:eastAsia="pt-BR"/>
              </w:rPr>
            </w:pPr>
            <w:r w:rsidRPr="00D30A3E">
              <w:rPr>
                <w:color w:val="000000"/>
                <w:sz w:val="22"/>
                <w:szCs w:val="22"/>
                <w:lang w:eastAsia="pt-BR"/>
              </w:rPr>
              <w:t>22,79</w:t>
            </w:r>
          </w:p>
        </w:tc>
        <w:tc>
          <w:tcPr>
            <w:tcW w:w="428" w:type="pct"/>
            <w:tcBorders>
              <w:top w:val="nil"/>
              <w:bottom w:val="nil"/>
            </w:tcBorders>
            <w:shd w:val="clear" w:color="auto" w:fill="D9D9D9"/>
            <w:noWrap/>
            <w:vAlign w:val="bottom"/>
            <w:hideMark/>
          </w:tcPr>
          <w:p w14:paraId="375F2A25" w14:textId="77777777" w:rsidR="007F23E9" w:rsidRPr="00D30A3E" w:rsidRDefault="007F23E9" w:rsidP="00505C85">
            <w:pPr>
              <w:jc w:val="right"/>
              <w:rPr>
                <w:color w:val="000000"/>
                <w:sz w:val="22"/>
                <w:szCs w:val="22"/>
                <w:lang w:eastAsia="pt-BR"/>
              </w:rPr>
            </w:pPr>
            <w:r w:rsidRPr="00D30A3E">
              <w:rPr>
                <w:color w:val="000000"/>
                <w:sz w:val="22"/>
                <w:szCs w:val="22"/>
                <w:lang w:eastAsia="pt-BR"/>
              </w:rPr>
              <w:t>25,38</w:t>
            </w:r>
          </w:p>
        </w:tc>
        <w:tc>
          <w:tcPr>
            <w:tcW w:w="428" w:type="pct"/>
            <w:tcBorders>
              <w:top w:val="nil"/>
              <w:bottom w:val="nil"/>
            </w:tcBorders>
            <w:noWrap/>
            <w:vAlign w:val="bottom"/>
            <w:hideMark/>
          </w:tcPr>
          <w:p w14:paraId="58E0A987" w14:textId="77777777" w:rsidR="007F23E9" w:rsidRPr="00D30A3E" w:rsidRDefault="007F23E9" w:rsidP="00505C85">
            <w:pPr>
              <w:jc w:val="right"/>
              <w:rPr>
                <w:color w:val="000000"/>
                <w:sz w:val="22"/>
                <w:szCs w:val="22"/>
                <w:lang w:eastAsia="pt-BR"/>
              </w:rPr>
            </w:pPr>
            <w:r w:rsidRPr="00D30A3E">
              <w:rPr>
                <w:color w:val="000000"/>
                <w:sz w:val="22"/>
                <w:szCs w:val="22"/>
                <w:lang w:eastAsia="pt-BR"/>
              </w:rPr>
              <w:t>18,18</w:t>
            </w:r>
          </w:p>
        </w:tc>
        <w:tc>
          <w:tcPr>
            <w:tcW w:w="428" w:type="pct"/>
            <w:tcBorders>
              <w:top w:val="nil"/>
              <w:bottom w:val="nil"/>
            </w:tcBorders>
            <w:noWrap/>
            <w:vAlign w:val="bottom"/>
            <w:hideMark/>
          </w:tcPr>
          <w:p w14:paraId="3DD482F3" w14:textId="77777777" w:rsidR="007F23E9" w:rsidRPr="00D30A3E" w:rsidRDefault="007F23E9" w:rsidP="00505C85">
            <w:pPr>
              <w:jc w:val="right"/>
              <w:rPr>
                <w:color w:val="000000"/>
                <w:sz w:val="22"/>
                <w:szCs w:val="22"/>
                <w:lang w:eastAsia="pt-BR"/>
              </w:rPr>
            </w:pPr>
            <w:r w:rsidRPr="00D30A3E">
              <w:rPr>
                <w:color w:val="000000"/>
                <w:sz w:val="22"/>
                <w:szCs w:val="22"/>
                <w:lang w:eastAsia="pt-BR"/>
              </w:rPr>
              <w:t>15,49</w:t>
            </w:r>
          </w:p>
        </w:tc>
        <w:tc>
          <w:tcPr>
            <w:tcW w:w="428" w:type="pct"/>
            <w:tcBorders>
              <w:top w:val="nil"/>
              <w:bottom w:val="nil"/>
            </w:tcBorders>
            <w:noWrap/>
            <w:vAlign w:val="bottom"/>
            <w:hideMark/>
          </w:tcPr>
          <w:p w14:paraId="1CB07521" w14:textId="77777777" w:rsidR="007F23E9" w:rsidRPr="00D30A3E" w:rsidRDefault="007F23E9" w:rsidP="00505C85">
            <w:pPr>
              <w:jc w:val="right"/>
              <w:rPr>
                <w:color w:val="000000"/>
                <w:sz w:val="22"/>
                <w:szCs w:val="22"/>
                <w:lang w:eastAsia="pt-BR"/>
              </w:rPr>
            </w:pPr>
            <w:r w:rsidRPr="00D30A3E">
              <w:rPr>
                <w:color w:val="000000"/>
                <w:sz w:val="22"/>
                <w:szCs w:val="22"/>
                <w:lang w:eastAsia="pt-BR"/>
              </w:rPr>
              <w:t>15,86</w:t>
            </w:r>
          </w:p>
        </w:tc>
        <w:tc>
          <w:tcPr>
            <w:tcW w:w="426" w:type="pct"/>
            <w:tcBorders>
              <w:top w:val="nil"/>
              <w:bottom w:val="nil"/>
            </w:tcBorders>
            <w:noWrap/>
            <w:vAlign w:val="bottom"/>
            <w:hideMark/>
          </w:tcPr>
          <w:p w14:paraId="388A2617" w14:textId="77777777" w:rsidR="007F23E9" w:rsidRPr="00D30A3E" w:rsidRDefault="007F23E9" w:rsidP="00505C85">
            <w:pPr>
              <w:jc w:val="right"/>
              <w:rPr>
                <w:color w:val="000000"/>
                <w:sz w:val="22"/>
                <w:szCs w:val="22"/>
                <w:lang w:eastAsia="pt-BR"/>
              </w:rPr>
            </w:pPr>
            <w:r w:rsidRPr="00D30A3E">
              <w:rPr>
                <w:color w:val="000000"/>
                <w:sz w:val="22"/>
                <w:szCs w:val="22"/>
                <w:lang w:eastAsia="pt-BR"/>
              </w:rPr>
              <w:t>16,67</w:t>
            </w:r>
          </w:p>
        </w:tc>
      </w:tr>
      <w:tr w:rsidR="00D30A3E" w:rsidRPr="00D30A3E" w14:paraId="58FC9DC2" w14:textId="77777777" w:rsidTr="00DC1B8C">
        <w:trPr>
          <w:trHeight w:val="300"/>
        </w:trPr>
        <w:tc>
          <w:tcPr>
            <w:tcW w:w="1538" w:type="pct"/>
            <w:tcBorders>
              <w:top w:val="nil"/>
              <w:bottom w:val="nil"/>
            </w:tcBorders>
            <w:noWrap/>
            <w:vAlign w:val="bottom"/>
            <w:hideMark/>
          </w:tcPr>
          <w:p w14:paraId="171B89DB" w14:textId="77777777" w:rsidR="007F23E9" w:rsidRPr="00D30A3E" w:rsidRDefault="007F23E9" w:rsidP="00505C85">
            <w:pPr>
              <w:rPr>
                <w:color w:val="000000"/>
                <w:sz w:val="22"/>
                <w:szCs w:val="22"/>
                <w:lang w:eastAsia="pt-BR"/>
              </w:rPr>
            </w:pPr>
            <w:r w:rsidRPr="00D30A3E">
              <w:rPr>
                <w:color w:val="000000"/>
                <w:sz w:val="22"/>
                <w:szCs w:val="22"/>
                <w:lang w:eastAsia="pt-BR"/>
              </w:rPr>
              <w:t xml:space="preserve">Serviços  </w:t>
            </w:r>
          </w:p>
        </w:tc>
        <w:tc>
          <w:tcPr>
            <w:tcW w:w="461" w:type="pct"/>
            <w:tcBorders>
              <w:top w:val="nil"/>
              <w:bottom w:val="nil"/>
            </w:tcBorders>
            <w:noWrap/>
            <w:vAlign w:val="bottom"/>
            <w:hideMark/>
          </w:tcPr>
          <w:p w14:paraId="168462EA" w14:textId="77777777" w:rsidR="007F23E9" w:rsidRPr="00D30A3E" w:rsidRDefault="007F23E9" w:rsidP="00505C85">
            <w:pPr>
              <w:jc w:val="right"/>
              <w:rPr>
                <w:color w:val="000000"/>
                <w:sz w:val="22"/>
                <w:szCs w:val="22"/>
                <w:lang w:eastAsia="pt-BR"/>
              </w:rPr>
            </w:pPr>
            <w:r w:rsidRPr="00D30A3E">
              <w:rPr>
                <w:color w:val="000000"/>
                <w:sz w:val="22"/>
                <w:szCs w:val="22"/>
                <w:lang w:eastAsia="pt-BR"/>
              </w:rPr>
              <w:t>18,47</w:t>
            </w:r>
          </w:p>
        </w:tc>
        <w:tc>
          <w:tcPr>
            <w:tcW w:w="425" w:type="pct"/>
            <w:tcBorders>
              <w:top w:val="nil"/>
              <w:bottom w:val="nil"/>
            </w:tcBorders>
            <w:noWrap/>
            <w:vAlign w:val="bottom"/>
            <w:hideMark/>
          </w:tcPr>
          <w:p w14:paraId="6FD36201" w14:textId="77777777" w:rsidR="007F23E9" w:rsidRPr="00D30A3E" w:rsidRDefault="007F23E9" w:rsidP="00505C85">
            <w:pPr>
              <w:jc w:val="right"/>
              <w:rPr>
                <w:color w:val="000000"/>
                <w:sz w:val="22"/>
                <w:szCs w:val="22"/>
                <w:lang w:eastAsia="pt-BR"/>
              </w:rPr>
            </w:pPr>
            <w:r w:rsidRPr="00D30A3E">
              <w:rPr>
                <w:color w:val="000000"/>
                <w:sz w:val="22"/>
                <w:szCs w:val="22"/>
                <w:lang w:eastAsia="pt-BR"/>
              </w:rPr>
              <w:t>14,90</w:t>
            </w:r>
          </w:p>
        </w:tc>
        <w:tc>
          <w:tcPr>
            <w:tcW w:w="438" w:type="pct"/>
            <w:tcBorders>
              <w:top w:val="nil"/>
              <w:bottom w:val="nil"/>
            </w:tcBorders>
            <w:noWrap/>
            <w:vAlign w:val="bottom"/>
            <w:hideMark/>
          </w:tcPr>
          <w:p w14:paraId="1B63A6A5" w14:textId="77777777" w:rsidR="007F23E9" w:rsidRPr="00D30A3E" w:rsidRDefault="007F23E9" w:rsidP="00505C85">
            <w:pPr>
              <w:jc w:val="right"/>
              <w:rPr>
                <w:color w:val="000000"/>
                <w:sz w:val="22"/>
                <w:szCs w:val="22"/>
                <w:lang w:eastAsia="pt-BR"/>
              </w:rPr>
            </w:pPr>
            <w:r w:rsidRPr="00D30A3E">
              <w:rPr>
                <w:color w:val="000000"/>
                <w:sz w:val="22"/>
                <w:szCs w:val="22"/>
                <w:lang w:eastAsia="pt-BR"/>
              </w:rPr>
              <w:t>22,04</w:t>
            </w:r>
          </w:p>
        </w:tc>
        <w:tc>
          <w:tcPr>
            <w:tcW w:w="428" w:type="pct"/>
            <w:tcBorders>
              <w:top w:val="nil"/>
              <w:bottom w:val="nil"/>
            </w:tcBorders>
            <w:noWrap/>
            <w:vAlign w:val="bottom"/>
            <w:hideMark/>
          </w:tcPr>
          <w:p w14:paraId="58FCB92B" w14:textId="77777777" w:rsidR="007F23E9" w:rsidRPr="00D30A3E" w:rsidRDefault="007F23E9" w:rsidP="00505C85">
            <w:pPr>
              <w:jc w:val="right"/>
              <w:rPr>
                <w:color w:val="000000"/>
                <w:sz w:val="22"/>
                <w:szCs w:val="22"/>
                <w:lang w:eastAsia="pt-BR"/>
              </w:rPr>
            </w:pPr>
            <w:r w:rsidRPr="00D30A3E">
              <w:rPr>
                <w:color w:val="000000"/>
                <w:sz w:val="22"/>
                <w:szCs w:val="22"/>
                <w:lang w:eastAsia="pt-BR"/>
              </w:rPr>
              <w:t>21,99</w:t>
            </w:r>
          </w:p>
        </w:tc>
        <w:tc>
          <w:tcPr>
            <w:tcW w:w="428" w:type="pct"/>
            <w:tcBorders>
              <w:top w:val="nil"/>
              <w:bottom w:val="nil"/>
            </w:tcBorders>
            <w:noWrap/>
            <w:vAlign w:val="bottom"/>
            <w:hideMark/>
          </w:tcPr>
          <w:p w14:paraId="72588D6C" w14:textId="77777777" w:rsidR="007F23E9" w:rsidRPr="00D30A3E" w:rsidRDefault="007F23E9" w:rsidP="00505C85">
            <w:pPr>
              <w:jc w:val="right"/>
              <w:rPr>
                <w:color w:val="000000"/>
                <w:sz w:val="22"/>
                <w:szCs w:val="22"/>
                <w:lang w:eastAsia="pt-BR"/>
              </w:rPr>
            </w:pPr>
            <w:r w:rsidRPr="00D30A3E">
              <w:rPr>
                <w:color w:val="000000"/>
                <w:sz w:val="22"/>
                <w:szCs w:val="22"/>
                <w:lang w:eastAsia="pt-BR"/>
              </w:rPr>
              <w:t>23,53</w:t>
            </w:r>
          </w:p>
        </w:tc>
        <w:tc>
          <w:tcPr>
            <w:tcW w:w="428" w:type="pct"/>
            <w:tcBorders>
              <w:top w:val="nil"/>
              <w:bottom w:val="nil"/>
            </w:tcBorders>
            <w:noWrap/>
            <w:vAlign w:val="bottom"/>
            <w:hideMark/>
          </w:tcPr>
          <w:p w14:paraId="4A364A2A" w14:textId="77777777" w:rsidR="007F23E9" w:rsidRPr="00D30A3E" w:rsidRDefault="007F23E9" w:rsidP="00505C85">
            <w:pPr>
              <w:jc w:val="right"/>
              <w:rPr>
                <w:color w:val="000000"/>
                <w:sz w:val="22"/>
                <w:szCs w:val="22"/>
                <w:lang w:eastAsia="pt-BR"/>
              </w:rPr>
            </w:pPr>
            <w:r w:rsidRPr="00D30A3E">
              <w:rPr>
                <w:color w:val="000000"/>
                <w:sz w:val="22"/>
                <w:szCs w:val="22"/>
                <w:lang w:eastAsia="pt-BR"/>
              </w:rPr>
              <w:t>22,88</w:t>
            </w:r>
          </w:p>
        </w:tc>
        <w:tc>
          <w:tcPr>
            <w:tcW w:w="428" w:type="pct"/>
            <w:tcBorders>
              <w:top w:val="nil"/>
              <w:bottom w:val="nil"/>
            </w:tcBorders>
            <w:shd w:val="clear" w:color="auto" w:fill="D9D9D9"/>
            <w:noWrap/>
            <w:vAlign w:val="bottom"/>
            <w:hideMark/>
          </w:tcPr>
          <w:p w14:paraId="1FC816AF" w14:textId="77777777" w:rsidR="007F23E9" w:rsidRPr="00D30A3E" w:rsidRDefault="007F23E9" w:rsidP="00505C85">
            <w:pPr>
              <w:jc w:val="right"/>
              <w:rPr>
                <w:color w:val="000000"/>
                <w:sz w:val="22"/>
                <w:szCs w:val="22"/>
                <w:lang w:eastAsia="pt-BR"/>
              </w:rPr>
            </w:pPr>
            <w:r w:rsidRPr="00D30A3E">
              <w:rPr>
                <w:color w:val="000000"/>
                <w:sz w:val="22"/>
                <w:szCs w:val="22"/>
                <w:lang w:eastAsia="pt-BR"/>
              </w:rPr>
              <w:t>26,47</w:t>
            </w:r>
          </w:p>
        </w:tc>
        <w:tc>
          <w:tcPr>
            <w:tcW w:w="426" w:type="pct"/>
            <w:tcBorders>
              <w:top w:val="nil"/>
              <w:bottom w:val="nil"/>
            </w:tcBorders>
            <w:shd w:val="clear" w:color="auto" w:fill="D9D9D9"/>
            <w:noWrap/>
            <w:vAlign w:val="bottom"/>
            <w:hideMark/>
          </w:tcPr>
          <w:p w14:paraId="5A1B00DA" w14:textId="77777777" w:rsidR="007F23E9" w:rsidRPr="00D30A3E" w:rsidRDefault="007F23E9" w:rsidP="00505C85">
            <w:pPr>
              <w:jc w:val="right"/>
              <w:rPr>
                <w:color w:val="000000"/>
                <w:sz w:val="22"/>
                <w:szCs w:val="22"/>
                <w:lang w:eastAsia="pt-BR"/>
              </w:rPr>
            </w:pPr>
            <w:r w:rsidRPr="00D30A3E">
              <w:rPr>
                <w:color w:val="000000"/>
                <w:sz w:val="22"/>
                <w:szCs w:val="22"/>
                <w:lang w:eastAsia="pt-BR"/>
              </w:rPr>
              <w:t>25,71</w:t>
            </w:r>
          </w:p>
        </w:tc>
      </w:tr>
      <w:tr w:rsidR="00D30A3E" w:rsidRPr="00D30A3E" w14:paraId="3C5C3985" w14:textId="77777777" w:rsidTr="00DC1B8C">
        <w:trPr>
          <w:trHeight w:val="300"/>
        </w:trPr>
        <w:tc>
          <w:tcPr>
            <w:tcW w:w="1538" w:type="pct"/>
            <w:tcBorders>
              <w:top w:val="nil"/>
              <w:bottom w:val="nil"/>
            </w:tcBorders>
            <w:noWrap/>
            <w:vAlign w:val="bottom"/>
            <w:hideMark/>
          </w:tcPr>
          <w:p w14:paraId="6E3D1143" w14:textId="77777777" w:rsidR="007F23E9" w:rsidRPr="00D30A3E" w:rsidRDefault="007F23E9" w:rsidP="00505C85">
            <w:pPr>
              <w:rPr>
                <w:color w:val="000000"/>
                <w:sz w:val="22"/>
                <w:szCs w:val="22"/>
                <w:lang w:eastAsia="pt-BR"/>
              </w:rPr>
            </w:pPr>
            <w:r w:rsidRPr="00D30A3E">
              <w:rPr>
                <w:color w:val="000000"/>
                <w:sz w:val="22"/>
                <w:szCs w:val="22"/>
                <w:lang w:eastAsia="pt-BR"/>
              </w:rPr>
              <w:t>Administração pública</w:t>
            </w:r>
          </w:p>
        </w:tc>
        <w:tc>
          <w:tcPr>
            <w:tcW w:w="461" w:type="pct"/>
            <w:tcBorders>
              <w:top w:val="nil"/>
              <w:bottom w:val="nil"/>
            </w:tcBorders>
            <w:noWrap/>
            <w:vAlign w:val="bottom"/>
            <w:hideMark/>
          </w:tcPr>
          <w:p w14:paraId="37CC25DC" w14:textId="77777777" w:rsidR="007F23E9" w:rsidRPr="00D30A3E" w:rsidRDefault="007F23E9" w:rsidP="00505C85">
            <w:pPr>
              <w:jc w:val="right"/>
              <w:rPr>
                <w:color w:val="000000"/>
                <w:sz w:val="22"/>
                <w:szCs w:val="22"/>
                <w:lang w:eastAsia="pt-BR"/>
              </w:rPr>
            </w:pPr>
            <w:r w:rsidRPr="00D30A3E">
              <w:rPr>
                <w:color w:val="000000"/>
                <w:sz w:val="22"/>
                <w:szCs w:val="22"/>
                <w:lang w:eastAsia="pt-BR"/>
              </w:rPr>
              <w:t>2,40</w:t>
            </w:r>
          </w:p>
        </w:tc>
        <w:tc>
          <w:tcPr>
            <w:tcW w:w="425" w:type="pct"/>
            <w:tcBorders>
              <w:top w:val="nil"/>
              <w:bottom w:val="nil"/>
            </w:tcBorders>
            <w:noWrap/>
            <w:vAlign w:val="bottom"/>
            <w:hideMark/>
          </w:tcPr>
          <w:p w14:paraId="2DD53FC4" w14:textId="77777777" w:rsidR="007F23E9" w:rsidRPr="00D30A3E" w:rsidRDefault="007F23E9" w:rsidP="00505C85">
            <w:pPr>
              <w:jc w:val="right"/>
              <w:rPr>
                <w:color w:val="000000"/>
                <w:sz w:val="22"/>
                <w:szCs w:val="22"/>
                <w:lang w:eastAsia="pt-BR"/>
              </w:rPr>
            </w:pPr>
            <w:r w:rsidRPr="00D30A3E">
              <w:rPr>
                <w:color w:val="000000"/>
                <w:sz w:val="22"/>
                <w:szCs w:val="22"/>
                <w:lang w:eastAsia="pt-BR"/>
              </w:rPr>
              <w:t>1,43</w:t>
            </w:r>
          </w:p>
        </w:tc>
        <w:tc>
          <w:tcPr>
            <w:tcW w:w="438" w:type="pct"/>
            <w:tcBorders>
              <w:top w:val="nil"/>
              <w:bottom w:val="nil"/>
            </w:tcBorders>
            <w:noWrap/>
            <w:vAlign w:val="bottom"/>
            <w:hideMark/>
          </w:tcPr>
          <w:p w14:paraId="68FC09AF" w14:textId="77777777" w:rsidR="007F23E9" w:rsidRPr="00D30A3E" w:rsidRDefault="007F23E9" w:rsidP="00505C85">
            <w:pPr>
              <w:jc w:val="right"/>
              <w:rPr>
                <w:color w:val="000000"/>
                <w:sz w:val="22"/>
                <w:szCs w:val="22"/>
                <w:lang w:eastAsia="pt-BR"/>
              </w:rPr>
            </w:pPr>
            <w:r w:rsidRPr="00D30A3E">
              <w:rPr>
                <w:color w:val="000000"/>
                <w:sz w:val="22"/>
                <w:szCs w:val="22"/>
                <w:lang w:eastAsia="pt-BR"/>
              </w:rPr>
              <w:t>1,74</w:t>
            </w:r>
          </w:p>
        </w:tc>
        <w:tc>
          <w:tcPr>
            <w:tcW w:w="428" w:type="pct"/>
            <w:tcBorders>
              <w:top w:val="nil"/>
              <w:bottom w:val="nil"/>
            </w:tcBorders>
            <w:noWrap/>
            <w:vAlign w:val="bottom"/>
            <w:hideMark/>
          </w:tcPr>
          <w:p w14:paraId="280C635B" w14:textId="77777777" w:rsidR="007F23E9" w:rsidRPr="00D30A3E" w:rsidRDefault="007F23E9" w:rsidP="00505C85">
            <w:pPr>
              <w:jc w:val="right"/>
              <w:rPr>
                <w:color w:val="000000"/>
                <w:sz w:val="22"/>
                <w:szCs w:val="22"/>
                <w:lang w:eastAsia="pt-BR"/>
              </w:rPr>
            </w:pPr>
            <w:r w:rsidRPr="00D30A3E">
              <w:rPr>
                <w:color w:val="000000"/>
                <w:sz w:val="22"/>
                <w:szCs w:val="22"/>
                <w:lang w:eastAsia="pt-BR"/>
              </w:rPr>
              <w:t>1,64</w:t>
            </w:r>
          </w:p>
        </w:tc>
        <w:tc>
          <w:tcPr>
            <w:tcW w:w="428" w:type="pct"/>
            <w:tcBorders>
              <w:top w:val="nil"/>
              <w:bottom w:val="nil"/>
            </w:tcBorders>
            <w:noWrap/>
            <w:vAlign w:val="bottom"/>
            <w:hideMark/>
          </w:tcPr>
          <w:p w14:paraId="7E4C594B" w14:textId="77777777" w:rsidR="007F23E9" w:rsidRPr="00D30A3E" w:rsidRDefault="007F23E9" w:rsidP="00505C85">
            <w:pPr>
              <w:jc w:val="right"/>
              <w:rPr>
                <w:color w:val="000000"/>
                <w:sz w:val="22"/>
                <w:szCs w:val="22"/>
                <w:lang w:eastAsia="pt-BR"/>
              </w:rPr>
            </w:pPr>
            <w:r w:rsidRPr="00D30A3E">
              <w:rPr>
                <w:color w:val="000000"/>
                <w:sz w:val="22"/>
                <w:szCs w:val="22"/>
                <w:lang w:eastAsia="pt-BR"/>
              </w:rPr>
              <w:t>7,84</w:t>
            </w:r>
          </w:p>
        </w:tc>
        <w:tc>
          <w:tcPr>
            <w:tcW w:w="428" w:type="pct"/>
            <w:tcBorders>
              <w:top w:val="nil"/>
              <w:bottom w:val="nil"/>
            </w:tcBorders>
            <w:noWrap/>
            <w:vAlign w:val="bottom"/>
            <w:hideMark/>
          </w:tcPr>
          <w:p w14:paraId="520A9E23" w14:textId="77777777" w:rsidR="007F23E9" w:rsidRPr="00D30A3E" w:rsidRDefault="007F23E9" w:rsidP="00505C85">
            <w:pPr>
              <w:jc w:val="right"/>
              <w:rPr>
                <w:color w:val="000000"/>
                <w:sz w:val="22"/>
                <w:szCs w:val="22"/>
                <w:lang w:eastAsia="pt-BR"/>
              </w:rPr>
            </w:pPr>
            <w:r w:rsidRPr="00D30A3E">
              <w:rPr>
                <w:color w:val="000000"/>
                <w:sz w:val="22"/>
                <w:szCs w:val="22"/>
                <w:lang w:eastAsia="pt-BR"/>
              </w:rPr>
              <w:t>7,39</w:t>
            </w:r>
          </w:p>
        </w:tc>
        <w:tc>
          <w:tcPr>
            <w:tcW w:w="428" w:type="pct"/>
            <w:tcBorders>
              <w:top w:val="nil"/>
              <w:bottom w:val="nil"/>
            </w:tcBorders>
            <w:noWrap/>
            <w:vAlign w:val="bottom"/>
            <w:hideMark/>
          </w:tcPr>
          <w:p w14:paraId="7C618359" w14:textId="77777777" w:rsidR="007F23E9" w:rsidRPr="00D30A3E" w:rsidRDefault="007F23E9" w:rsidP="00505C85">
            <w:pPr>
              <w:jc w:val="right"/>
              <w:rPr>
                <w:color w:val="000000"/>
                <w:sz w:val="22"/>
                <w:szCs w:val="22"/>
                <w:lang w:eastAsia="pt-BR"/>
              </w:rPr>
            </w:pPr>
            <w:r w:rsidRPr="00D30A3E">
              <w:rPr>
                <w:color w:val="000000"/>
                <w:sz w:val="22"/>
                <w:szCs w:val="22"/>
                <w:lang w:eastAsia="pt-BR"/>
              </w:rPr>
              <w:t>8,39</w:t>
            </w:r>
          </w:p>
        </w:tc>
        <w:tc>
          <w:tcPr>
            <w:tcW w:w="426" w:type="pct"/>
            <w:tcBorders>
              <w:top w:val="nil"/>
              <w:bottom w:val="nil"/>
            </w:tcBorders>
            <w:noWrap/>
            <w:vAlign w:val="bottom"/>
            <w:hideMark/>
          </w:tcPr>
          <w:p w14:paraId="43F8D6FB" w14:textId="77777777" w:rsidR="007F23E9" w:rsidRPr="00D30A3E" w:rsidRDefault="007F23E9" w:rsidP="00505C85">
            <w:pPr>
              <w:jc w:val="right"/>
              <w:rPr>
                <w:color w:val="000000"/>
                <w:sz w:val="22"/>
                <w:szCs w:val="22"/>
                <w:lang w:eastAsia="pt-BR"/>
              </w:rPr>
            </w:pPr>
            <w:r w:rsidRPr="00D30A3E">
              <w:rPr>
                <w:color w:val="000000"/>
                <w:sz w:val="22"/>
                <w:szCs w:val="22"/>
                <w:lang w:eastAsia="pt-BR"/>
              </w:rPr>
              <w:t>9,17</w:t>
            </w:r>
          </w:p>
        </w:tc>
      </w:tr>
      <w:tr w:rsidR="00D30A3E" w:rsidRPr="00D30A3E" w14:paraId="1DAEE8DF" w14:textId="77777777" w:rsidTr="00DC1B8C">
        <w:trPr>
          <w:trHeight w:val="315"/>
        </w:trPr>
        <w:tc>
          <w:tcPr>
            <w:tcW w:w="1538" w:type="pct"/>
            <w:tcBorders>
              <w:top w:val="nil"/>
            </w:tcBorders>
            <w:noWrap/>
            <w:vAlign w:val="bottom"/>
            <w:hideMark/>
          </w:tcPr>
          <w:p w14:paraId="39177118" w14:textId="77777777" w:rsidR="007F23E9" w:rsidRPr="00D30A3E" w:rsidRDefault="007F23E9" w:rsidP="00505C85">
            <w:pPr>
              <w:rPr>
                <w:color w:val="000000"/>
                <w:sz w:val="22"/>
                <w:szCs w:val="22"/>
                <w:lang w:eastAsia="pt-BR"/>
              </w:rPr>
            </w:pPr>
            <w:r w:rsidRPr="00D30A3E">
              <w:rPr>
                <w:color w:val="000000"/>
                <w:sz w:val="22"/>
                <w:szCs w:val="22"/>
                <w:lang w:eastAsia="pt-BR"/>
              </w:rPr>
              <w:t>Outras atividades e Atividade mal definidas</w:t>
            </w:r>
          </w:p>
        </w:tc>
        <w:tc>
          <w:tcPr>
            <w:tcW w:w="461" w:type="pct"/>
            <w:tcBorders>
              <w:top w:val="nil"/>
            </w:tcBorders>
            <w:noWrap/>
            <w:vAlign w:val="bottom"/>
            <w:hideMark/>
          </w:tcPr>
          <w:p w14:paraId="535A6E06" w14:textId="77777777" w:rsidR="007F23E9" w:rsidRPr="00D30A3E" w:rsidRDefault="007F23E9" w:rsidP="00505C85">
            <w:pPr>
              <w:jc w:val="right"/>
              <w:rPr>
                <w:color w:val="000000"/>
                <w:sz w:val="22"/>
                <w:szCs w:val="22"/>
                <w:lang w:eastAsia="pt-BR"/>
              </w:rPr>
            </w:pPr>
            <w:r w:rsidRPr="00D30A3E">
              <w:rPr>
                <w:color w:val="000000"/>
                <w:sz w:val="22"/>
                <w:szCs w:val="22"/>
                <w:lang w:eastAsia="pt-BR"/>
              </w:rPr>
              <w:t>8,63</w:t>
            </w:r>
          </w:p>
        </w:tc>
        <w:tc>
          <w:tcPr>
            <w:tcW w:w="425" w:type="pct"/>
            <w:tcBorders>
              <w:top w:val="nil"/>
            </w:tcBorders>
            <w:noWrap/>
            <w:vAlign w:val="bottom"/>
            <w:hideMark/>
          </w:tcPr>
          <w:p w14:paraId="4F3BC0E2" w14:textId="77777777" w:rsidR="007F23E9" w:rsidRPr="00D30A3E" w:rsidRDefault="007F23E9" w:rsidP="00505C85">
            <w:pPr>
              <w:jc w:val="right"/>
              <w:rPr>
                <w:color w:val="000000"/>
                <w:sz w:val="22"/>
                <w:szCs w:val="22"/>
                <w:lang w:eastAsia="pt-BR"/>
              </w:rPr>
            </w:pPr>
            <w:r w:rsidRPr="00D30A3E">
              <w:rPr>
                <w:color w:val="000000"/>
                <w:sz w:val="22"/>
                <w:szCs w:val="22"/>
                <w:lang w:eastAsia="pt-BR"/>
              </w:rPr>
              <w:t>7,74</w:t>
            </w:r>
          </w:p>
        </w:tc>
        <w:tc>
          <w:tcPr>
            <w:tcW w:w="438" w:type="pct"/>
            <w:tcBorders>
              <w:top w:val="nil"/>
            </w:tcBorders>
            <w:noWrap/>
            <w:vAlign w:val="bottom"/>
            <w:hideMark/>
          </w:tcPr>
          <w:p w14:paraId="42637CBC" w14:textId="77777777" w:rsidR="007F23E9" w:rsidRPr="00D30A3E" w:rsidRDefault="007F23E9" w:rsidP="00505C85">
            <w:pPr>
              <w:jc w:val="right"/>
              <w:rPr>
                <w:color w:val="000000"/>
                <w:sz w:val="22"/>
                <w:szCs w:val="22"/>
                <w:lang w:eastAsia="pt-BR"/>
              </w:rPr>
            </w:pPr>
            <w:r w:rsidRPr="00D30A3E">
              <w:rPr>
                <w:color w:val="000000"/>
                <w:sz w:val="22"/>
                <w:szCs w:val="22"/>
                <w:lang w:eastAsia="pt-BR"/>
              </w:rPr>
              <w:t>11,71</w:t>
            </w:r>
          </w:p>
        </w:tc>
        <w:tc>
          <w:tcPr>
            <w:tcW w:w="428" w:type="pct"/>
            <w:tcBorders>
              <w:top w:val="nil"/>
            </w:tcBorders>
            <w:noWrap/>
            <w:vAlign w:val="bottom"/>
            <w:hideMark/>
          </w:tcPr>
          <w:p w14:paraId="7DB521F1" w14:textId="77777777" w:rsidR="007F23E9" w:rsidRPr="00D30A3E" w:rsidRDefault="007F23E9" w:rsidP="00505C85">
            <w:pPr>
              <w:jc w:val="right"/>
              <w:rPr>
                <w:color w:val="000000"/>
                <w:sz w:val="22"/>
                <w:szCs w:val="22"/>
                <w:lang w:eastAsia="pt-BR"/>
              </w:rPr>
            </w:pPr>
            <w:r w:rsidRPr="00D30A3E">
              <w:rPr>
                <w:color w:val="000000"/>
                <w:sz w:val="22"/>
                <w:szCs w:val="22"/>
                <w:lang w:eastAsia="pt-BR"/>
              </w:rPr>
              <w:t>11,58</w:t>
            </w:r>
          </w:p>
        </w:tc>
        <w:tc>
          <w:tcPr>
            <w:tcW w:w="428" w:type="pct"/>
            <w:tcBorders>
              <w:top w:val="nil"/>
            </w:tcBorders>
            <w:noWrap/>
            <w:vAlign w:val="bottom"/>
            <w:hideMark/>
          </w:tcPr>
          <w:p w14:paraId="28E41F1A" w14:textId="77777777" w:rsidR="007F23E9" w:rsidRPr="00D30A3E" w:rsidRDefault="007F23E9" w:rsidP="00505C85">
            <w:pPr>
              <w:jc w:val="right"/>
              <w:rPr>
                <w:color w:val="000000"/>
                <w:sz w:val="22"/>
                <w:szCs w:val="22"/>
                <w:lang w:eastAsia="pt-BR"/>
              </w:rPr>
            </w:pPr>
            <w:r w:rsidRPr="00D30A3E">
              <w:rPr>
                <w:color w:val="000000"/>
                <w:sz w:val="22"/>
                <w:szCs w:val="22"/>
                <w:lang w:eastAsia="pt-BR"/>
              </w:rPr>
              <w:t>3,92</w:t>
            </w:r>
          </w:p>
        </w:tc>
        <w:tc>
          <w:tcPr>
            <w:tcW w:w="428" w:type="pct"/>
            <w:tcBorders>
              <w:top w:val="nil"/>
            </w:tcBorders>
            <w:noWrap/>
            <w:vAlign w:val="bottom"/>
            <w:hideMark/>
          </w:tcPr>
          <w:p w14:paraId="5289E85C" w14:textId="77777777" w:rsidR="007F23E9" w:rsidRPr="00D30A3E" w:rsidRDefault="007F23E9" w:rsidP="00505C85">
            <w:pPr>
              <w:jc w:val="right"/>
              <w:rPr>
                <w:color w:val="000000"/>
                <w:sz w:val="22"/>
                <w:szCs w:val="22"/>
                <w:lang w:eastAsia="pt-BR"/>
              </w:rPr>
            </w:pPr>
            <w:r w:rsidRPr="00D30A3E">
              <w:rPr>
                <w:color w:val="000000"/>
                <w:sz w:val="22"/>
                <w:szCs w:val="22"/>
                <w:lang w:eastAsia="pt-BR"/>
              </w:rPr>
              <w:t>2,74</w:t>
            </w:r>
          </w:p>
        </w:tc>
        <w:tc>
          <w:tcPr>
            <w:tcW w:w="428" w:type="pct"/>
            <w:tcBorders>
              <w:top w:val="nil"/>
            </w:tcBorders>
            <w:noWrap/>
            <w:vAlign w:val="bottom"/>
            <w:hideMark/>
          </w:tcPr>
          <w:p w14:paraId="0FA3E8F1" w14:textId="77777777" w:rsidR="007F23E9" w:rsidRPr="00D30A3E" w:rsidRDefault="007F23E9" w:rsidP="00505C85">
            <w:pPr>
              <w:jc w:val="right"/>
              <w:rPr>
                <w:color w:val="000000"/>
                <w:sz w:val="22"/>
                <w:szCs w:val="22"/>
                <w:lang w:eastAsia="pt-BR"/>
              </w:rPr>
            </w:pPr>
            <w:r w:rsidRPr="00D30A3E">
              <w:rPr>
                <w:color w:val="000000"/>
                <w:sz w:val="22"/>
                <w:szCs w:val="22"/>
                <w:lang w:eastAsia="pt-BR"/>
              </w:rPr>
              <w:t>3,93</w:t>
            </w:r>
          </w:p>
        </w:tc>
        <w:tc>
          <w:tcPr>
            <w:tcW w:w="426" w:type="pct"/>
            <w:tcBorders>
              <w:top w:val="nil"/>
            </w:tcBorders>
            <w:noWrap/>
            <w:vAlign w:val="bottom"/>
            <w:hideMark/>
          </w:tcPr>
          <w:p w14:paraId="1E2C1F06" w14:textId="77777777" w:rsidR="007F23E9" w:rsidRPr="00D30A3E" w:rsidRDefault="007F23E9" w:rsidP="00505C85">
            <w:pPr>
              <w:jc w:val="right"/>
              <w:rPr>
                <w:color w:val="000000"/>
                <w:sz w:val="22"/>
                <w:szCs w:val="22"/>
                <w:lang w:eastAsia="pt-BR"/>
              </w:rPr>
            </w:pPr>
            <w:r w:rsidRPr="00D30A3E">
              <w:rPr>
                <w:color w:val="000000"/>
                <w:sz w:val="22"/>
                <w:szCs w:val="22"/>
                <w:lang w:eastAsia="pt-BR"/>
              </w:rPr>
              <w:t>2,20</w:t>
            </w:r>
          </w:p>
        </w:tc>
      </w:tr>
    </w:tbl>
    <w:p w14:paraId="32CA5D7D" w14:textId="77777777" w:rsidR="00D7489B" w:rsidRPr="000A4A0C" w:rsidRDefault="00D7489B" w:rsidP="00505C85">
      <w:pPr>
        <w:jc w:val="both"/>
        <w:rPr>
          <w:sz w:val="20"/>
          <w:szCs w:val="20"/>
        </w:rPr>
      </w:pPr>
      <w:r>
        <w:rPr>
          <w:sz w:val="20"/>
          <w:szCs w:val="20"/>
        </w:rPr>
        <w:t>Fonte: Elaborado pelas autoras a partir de dados da PNAD/SIDRA-IBGE.</w:t>
      </w:r>
    </w:p>
    <w:p w14:paraId="5D3540F5" w14:textId="77777777" w:rsidR="007F23E9" w:rsidRPr="00D7489B" w:rsidRDefault="007F23E9" w:rsidP="00FD6190">
      <w:pPr>
        <w:spacing w:line="360" w:lineRule="auto"/>
        <w:ind w:firstLine="708"/>
        <w:jc w:val="both"/>
      </w:pPr>
    </w:p>
    <w:p w14:paraId="18472D01" w14:textId="43218E49" w:rsidR="007F23E9" w:rsidRDefault="00A7526D" w:rsidP="00FD6190">
      <w:pPr>
        <w:tabs>
          <w:tab w:val="left" w:pos="1035"/>
        </w:tabs>
        <w:spacing w:line="360" w:lineRule="auto"/>
        <w:ind w:firstLine="709"/>
        <w:jc w:val="both"/>
      </w:pPr>
      <w:r>
        <w:t xml:space="preserve">No Gráfico </w:t>
      </w:r>
      <w:proofErr w:type="gramStart"/>
      <w:r>
        <w:t>4</w:t>
      </w:r>
      <w:proofErr w:type="gramEnd"/>
      <w:r w:rsidR="009F4DE1">
        <w:t>,</w:t>
      </w:r>
      <w:r w:rsidR="007F23E9">
        <w:t xml:space="preserve"> podemos ver a distribuição dos trabalhadores as</w:t>
      </w:r>
      <w:r w:rsidR="009F4DE1">
        <w:t xml:space="preserve">salariados formais e informais. </w:t>
      </w:r>
      <w:r w:rsidR="007F23E9">
        <w:t xml:space="preserve">No Brasil observa-se uma tendência crescente de assalariamento formal e tendência decrescente de assalariamento informal, enquanto que no Pará somente em 2011 os assalariados formais superaram os informais, </w:t>
      </w:r>
      <w:r w:rsidR="00172923">
        <w:t>mas</w:t>
      </w:r>
      <w:r w:rsidR="007F23E9">
        <w:t xml:space="preserve"> ainda </w:t>
      </w:r>
      <w:r w:rsidR="00172923">
        <w:t>com percentuais muito próximos</w:t>
      </w:r>
      <w:r w:rsidR="007F23E9">
        <w:t xml:space="preserve"> entre os dois, pois</w:t>
      </w:r>
      <w:r w:rsidR="00196029">
        <w:t>,</w:t>
      </w:r>
      <w:r w:rsidR="007F23E9">
        <w:t xml:space="preserve"> em 2014</w:t>
      </w:r>
      <w:r w:rsidR="00196029">
        <w:t>,</w:t>
      </w:r>
      <w:r w:rsidR="007F23E9">
        <w:t xml:space="preserve"> o percentual de assalariados formais são apenas 29,9% e os informais 24,5%, 5,4 pontos percentuais (</w:t>
      </w:r>
      <w:proofErr w:type="spellStart"/>
      <w:r w:rsidR="007F23E9">
        <w:t>p.p</w:t>
      </w:r>
      <w:proofErr w:type="spellEnd"/>
      <w:r w:rsidR="007F23E9">
        <w:t xml:space="preserve">.), e no Brasil no mesmo ano a diferença foi de 29,3 </w:t>
      </w:r>
      <w:proofErr w:type="spellStart"/>
      <w:r w:rsidR="007F23E9">
        <w:t>p.p</w:t>
      </w:r>
      <w:proofErr w:type="spellEnd"/>
      <w:r w:rsidR="007F23E9">
        <w:t>., uma situação muito distante da encontrada no Pará.</w:t>
      </w:r>
    </w:p>
    <w:p w14:paraId="7D963648" w14:textId="77777777" w:rsidR="007F23E9" w:rsidRDefault="007F23E9" w:rsidP="00FD6190">
      <w:pPr>
        <w:spacing w:line="360" w:lineRule="auto"/>
      </w:pPr>
    </w:p>
    <w:p w14:paraId="29C3B96D" w14:textId="77777777" w:rsidR="00293C65" w:rsidRDefault="00293C65" w:rsidP="00FD6190">
      <w:pPr>
        <w:spacing w:line="360" w:lineRule="auto"/>
      </w:pPr>
    </w:p>
    <w:p w14:paraId="54AD4112" w14:textId="77777777" w:rsidR="00293C65" w:rsidRDefault="00293C65" w:rsidP="00FD6190">
      <w:pPr>
        <w:spacing w:line="360" w:lineRule="auto"/>
      </w:pPr>
    </w:p>
    <w:p w14:paraId="15A62B67" w14:textId="77777777" w:rsidR="00293C65" w:rsidRDefault="00293C65" w:rsidP="00FD6190">
      <w:pPr>
        <w:spacing w:line="360" w:lineRule="auto"/>
      </w:pPr>
    </w:p>
    <w:p w14:paraId="22DBDC6C" w14:textId="77777777" w:rsidR="00293C65" w:rsidRDefault="00293C65" w:rsidP="00FD6190">
      <w:pPr>
        <w:spacing w:line="360" w:lineRule="auto"/>
      </w:pPr>
    </w:p>
    <w:p w14:paraId="232A287C" w14:textId="235FD9F7" w:rsidR="009F4DE1" w:rsidRDefault="009F4DE1" w:rsidP="009F4DE1">
      <w:pPr>
        <w:jc w:val="center"/>
        <w:rPr>
          <w:sz w:val="20"/>
          <w:szCs w:val="20"/>
        </w:rPr>
      </w:pPr>
      <w:r>
        <w:lastRenderedPageBreak/>
        <w:t xml:space="preserve">Gráfico </w:t>
      </w:r>
      <w:r>
        <w:fldChar w:fldCharType="begin"/>
      </w:r>
      <w:r>
        <w:instrText xml:space="preserve"> SEQ Gráfico \* ARABIC </w:instrText>
      </w:r>
      <w:r>
        <w:fldChar w:fldCharType="separate"/>
      </w:r>
      <w:r>
        <w:rPr>
          <w:noProof/>
        </w:rPr>
        <w:t>4</w:t>
      </w:r>
      <w:r>
        <w:fldChar w:fldCharType="end"/>
      </w:r>
      <w:r>
        <w:t xml:space="preserve">: </w:t>
      </w:r>
      <w:r>
        <w:rPr>
          <w:sz w:val="20"/>
          <w:szCs w:val="20"/>
        </w:rPr>
        <w:t>Distribuição dos trabalhadores assalariados formais* e informais** – Brasil e Pará, 2001-2014.</w:t>
      </w:r>
    </w:p>
    <w:p w14:paraId="34F2FB55" w14:textId="2F39A60F" w:rsidR="00D30A3E" w:rsidRDefault="00F97B9F" w:rsidP="009F4DE1">
      <w:pPr>
        <w:jc w:val="center"/>
        <w:rPr>
          <w:sz w:val="20"/>
          <w:szCs w:val="20"/>
        </w:rPr>
      </w:pPr>
      <w:r>
        <w:rPr>
          <w:noProof/>
          <w:lang w:eastAsia="pt-BR"/>
        </w:rPr>
        <w:drawing>
          <wp:inline distT="0" distB="0" distL="0" distR="0" wp14:anchorId="769D0A24" wp14:editId="019AF228">
            <wp:extent cx="4555331" cy="2405063"/>
            <wp:effectExtent l="0" t="0" r="17145"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F677C5" w14:textId="77777777" w:rsidR="009F4DE1" w:rsidRPr="000A4A0C" w:rsidRDefault="009F4DE1" w:rsidP="00C90FE6">
      <w:pPr>
        <w:ind w:left="567"/>
        <w:jc w:val="both"/>
        <w:rPr>
          <w:sz w:val="20"/>
          <w:szCs w:val="20"/>
        </w:rPr>
      </w:pPr>
      <w:r>
        <w:rPr>
          <w:sz w:val="20"/>
          <w:szCs w:val="20"/>
        </w:rPr>
        <w:t>Fonte: Elaborado pelas autoras a partir de dados da PNAD/SIDRA-IBGE.</w:t>
      </w:r>
    </w:p>
    <w:p w14:paraId="7A8FF20F" w14:textId="7CDCBEB5" w:rsidR="007F23E9" w:rsidRDefault="009F4DE1" w:rsidP="00803C68">
      <w:pPr>
        <w:ind w:left="567"/>
        <w:jc w:val="both"/>
        <w:rPr>
          <w:sz w:val="20"/>
          <w:szCs w:val="20"/>
        </w:rPr>
      </w:pPr>
      <w:r>
        <w:rPr>
          <w:sz w:val="20"/>
          <w:szCs w:val="20"/>
        </w:rPr>
        <w:t xml:space="preserve">Nota: </w:t>
      </w:r>
      <w:r w:rsidR="007F23E9">
        <w:rPr>
          <w:sz w:val="20"/>
          <w:szCs w:val="20"/>
        </w:rPr>
        <w:t>* Empregados com carteira assinada, militares e funcionários públicos estatutários e trabalhadores domésticos com carteira assinada. ** Empregados e trabalhadores domésticos sem carteira assinada.</w:t>
      </w:r>
    </w:p>
    <w:p w14:paraId="7F462800" w14:textId="77777777" w:rsidR="007F23E9" w:rsidRDefault="007F23E9" w:rsidP="00803C68">
      <w:pPr>
        <w:tabs>
          <w:tab w:val="left" w:pos="1035"/>
        </w:tabs>
        <w:spacing w:line="360" w:lineRule="auto"/>
        <w:jc w:val="both"/>
      </w:pPr>
      <w:r>
        <w:tab/>
      </w:r>
    </w:p>
    <w:p w14:paraId="41798043" w14:textId="5A1CE9D9" w:rsidR="007F23E9" w:rsidRDefault="00352F05" w:rsidP="00803C68">
      <w:pPr>
        <w:tabs>
          <w:tab w:val="left" w:pos="1035"/>
        </w:tabs>
        <w:spacing w:line="360" w:lineRule="auto"/>
        <w:ind w:firstLine="709"/>
        <w:jc w:val="both"/>
      </w:pPr>
      <w:r>
        <w:tab/>
        <w:t>A</w:t>
      </w:r>
      <w:r w:rsidR="007F23E9">
        <w:t xml:space="preserve"> Tabela 2</w:t>
      </w:r>
      <w:r>
        <w:t xml:space="preserve"> </w:t>
      </w:r>
      <w:r w:rsidR="007F23E9">
        <w:t xml:space="preserve">apresenta a distribuição percentual por grupo de horas habitualmente trabalhadas por semana dos trabalhadores </w:t>
      </w:r>
      <w:r w:rsidR="00B33662">
        <w:t xml:space="preserve">para </w:t>
      </w:r>
      <w:r w:rsidR="00F52085">
        <w:t>assalariados e não assalariados</w:t>
      </w:r>
      <w:r w:rsidR="007F23E9">
        <w:t xml:space="preserve"> para o Brasil e Pará</w:t>
      </w:r>
      <w:r w:rsidR="00172923">
        <w:t>,</w:t>
      </w:r>
      <w:r w:rsidR="003D37AC">
        <w:t xml:space="preserve"> entre 2001 e 2014</w:t>
      </w:r>
      <w:r w:rsidR="007F23E9">
        <w:t xml:space="preserve">. Como observado na tabela, o comportamento é </w:t>
      </w:r>
      <w:r w:rsidR="006E17F9">
        <w:t xml:space="preserve">homogêneo para o Brasil e Pará, </w:t>
      </w:r>
      <w:r w:rsidR="0041662B">
        <w:t>uma vez que</w:t>
      </w:r>
      <w:r w:rsidR="007F23E9">
        <w:t xml:space="preserve"> a maioria dos tr</w:t>
      </w:r>
      <w:r w:rsidR="00F65272">
        <w:t>abalhadores assalariados</w:t>
      </w:r>
      <w:r w:rsidR="006E17F9">
        <w:t xml:space="preserve"> </w:t>
      </w:r>
      <w:r w:rsidR="004C4B58">
        <w:t>concentra-se, primeiro,</w:t>
      </w:r>
      <w:r w:rsidR="00D23DCB">
        <w:t xml:space="preserve"> no intervalo de</w:t>
      </w:r>
      <w:r w:rsidR="004C4B58">
        <w:t xml:space="preserve"> 40 a 44 horas e, segundo,</w:t>
      </w:r>
      <w:r w:rsidR="00D23DCB">
        <w:t xml:space="preserve"> no intervalo 15 a 39 horas</w:t>
      </w:r>
      <w:r w:rsidR="00B33662">
        <w:t xml:space="preserve">, à exceção do Brasil em 2001 (25,36%, entre 40 e 44 horas, e 12,77%, entre 45 e 48 horas). </w:t>
      </w:r>
    </w:p>
    <w:p w14:paraId="6D3A5258" w14:textId="77777777" w:rsidR="007F23E9" w:rsidRDefault="007F23E9" w:rsidP="00803C68">
      <w:pPr>
        <w:tabs>
          <w:tab w:val="left" w:pos="1590"/>
        </w:tabs>
        <w:spacing w:line="360" w:lineRule="auto"/>
        <w:jc w:val="both"/>
      </w:pPr>
    </w:p>
    <w:p w14:paraId="36768429" w14:textId="3C6BD156" w:rsidR="007F23E9" w:rsidRDefault="007F23E9" w:rsidP="00A44321">
      <w:pPr>
        <w:tabs>
          <w:tab w:val="left" w:pos="1590"/>
        </w:tabs>
        <w:jc w:val="both"/>
      </w:pPr>
      <w:r>
        <w:t>Tabela 2: Distribuição perc</w:t>
      </w:r>
      <w:r w:rsidR="00A44321">
        <w:t>entual dos trabalhadores assalariados</w:t>
      </w:r>
      <w:r>
        <w:t xml:space="preserve">* e </w:t>
      </w:r>
      <w:r w:rsidR="00A44321">
        <w:t>não assalariados</w:t>
      </w:r>
      <w:r>
        <w:t>** por horas trabalhadas – Brasil e Pará</w:t>
      </w:r>
      <w:r w:rsidR="00EC611C">
        <w:t>, 2001-2014.</w:t>
      </w:r>
    </w:p>
    <w:tbl>
      <w:tblPr>
        <w:tblW w:w="8320" w:type="dxa"/>
        <w:tblInd w:w="55" w:type="dxa"/>
        <w:tblCellMar>
          <w:left w:w="70" w:type="dxa"/>
          <w:right w:w="70" w:type="dxa"/>
        </w:tblCellMar>
        <w:tblLook w:val="04A0" w:firstRow="1" w:lastRow="0" w:firstColumn="1" w:lastColumn="0" w:noHBand="0" w:noVBand="1"/>
      </w:tblPr>
      <w:tblGrid>
        <w:gridCol w:w="840"/>
        <w:gridCol w:w="1400"/>
        <w:gridCol w:w="1520"/>
        <w:gridCol w:w="1520"/>
        <w:gridCol w:w="1520"/>
        <w:gridCol w:w="1520"/>
      </w:tblGrid>
      <w:tr w:rsidR="00A44321" w:rsidRPr="00A44321" w14:paraId="43934157" w14:textId="77777777" w:rsidTr="00525CB9">
        <w:trPr>
          <w:trHeight w:val="300"/>
          <w:tblHeader/>
        </w:trPr>
        <w:tc>
          <w:tcPr>
            <w:tcW w:w="840" w:type="dxa"/>
            <w:vMerge w:val="restart"/>
            <w:tcBorders>
              <w:top w:val="single" w:sz="4" w:space="0" w:color="auto"/>
              <w:left w:val="nil"/>
              <w:bottom w:val="single" w:sz="4" w:space="0" w:color="auto"/>
              <w:right w:val="single" w:sz="4" w:space="0" w:color="auto"/>
            </w:tcBorders>
            <w:shd w:val="clear" w:color="000000" w:fill="A6A6A6"/>
            <w:noWrap/>
            <w:vAlign w:val="center"/>
            <w:hideMark/>
          </w:tcPr>
          <w:p w14:paraId="081A1741"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Ano</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BFACC9C"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Horas</w:t>
            </w:r>
          </w:p>
        </w:tc>
        <w:tc>
          <w:tcPr>
            <w:tcW w:w="304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0F887F20"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Brasil</w:t>
            </w:r>
          </w:p>
        </w:tc>
        <w:tc>
          <w:tcPr>
            <w:tcW w:w="304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0281AB3F"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Pará</w:t>
            </w:r>
          </w:p>
        </w:tc>
      </w:tr>
      <w:tr w:rsidR="00A44321" w:rsidRPr="00A44321" w14:paraId="46CD94A3" w14:textId="77777777" w:rsidTr="00525CB9">
        <w:trPr>
          <w:trHeight w:val="1140"/>
          <w:tblHeader/>
        </w:trPr>
        <w:tc>
          <w:tcPr>
            <w:tcW w:w="840" w:type="dxa"/>
            <w:vMerge/>
            <w:tcBorders>
              <w:top w:val="single" w:sz="4" w:space="0" w:color="auto"/>
              <w:left w:val="nil"/>
              <w:bottom w:val="single" w:sz="4" w:space="0" w:color="auto"/>
              <w:right w:val="single" w:sz="4" w:space="0" w:color="auto"/>
            </w:tcBorders>
            <w:vAlign w:val="center"/>
            <w:hideMark/>
          </w:tcPr>
          <w:p w14:paraId="033E7BF5" w14:textId="77777777" w:rsidR="00A44321" w:rsidRPr="00A44321" w:rsidRDefault="00A44321" w:rsidP="00A44321">
            <w:pPr>
              <w:suppressAutoHyphens w:val="0"/>
              <w:rPr>
                <w:b/>
                <w:bCs/>
                <w:color w:val="000000"/>
                <w:sz w:val="20"/>
                <w:szCs w:val="20"/>
                <w:lang w:eastAsia="pt-B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F2605DA" w14:textId="77777777" w:rsidR="00A44321" w:rsidRPr="00A44321" w:rsidRDefault="00A44321" w:rsidP="00A44321">
            <w:pPr>
              <w:suppressAutoHyphens w:val="0"/>
              <w:rPr>
                <w:b/>
                <w:bCs/>
                <w:color w:val="000000"/>
                <w:sz w:val="20"/>
                <w:szCs w:val="20"/>
                <w:lang w:eastAsia="pt-BR"/>
              </w:rPr>
            </w:pPr>
          </w:p>
        </w:tc>
        <w:tc>
          <w:tcPr>
            <w:tcW w:w="1520" w:type="dxa"/>
            <w:tcBorders>
              <w:top w:val="nil"/>
              <w:left w:val="nil"/>
              <w:bottom w:val="single" w:sz="4" w:space="0" w:color="auto"/>
              <w:right w:val="single" w:sz="4" w:space="0" w:color="auto"/>
            </w:tcBorders>
            <w:shd w:val="clear" w:color="000000" w:fill="A6A6A6"/>
            <w:vAlign w:val="center"/>
            <w:hideMark/>
          </w:tcPr>
          <w:p w14:paraId="40BB373E"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Trabalhadores Assalariados (%)</w:t>
            </w:r>
          </w:p>
        </w:tc>
        <w:tc>
          <w:tcPr>
            <w:tcW w:w="1520" w:type="dxa"/>
            <w:tcBorders>
              <w:top w:val="nil"/>
              <w:left w:val="nil"/>
              <w:bottom w:val="single" w:sz="4" w:space="0" w:color="auto"/>
              <w:right w:val="single" w:sz="4" w:space="0" w:color="auto"/>
            </w:tcBorders>
            <w:shd w:val="clear" w:color="000000" w:fill="A6A6A6"/>
            <w:vAlign w:val="center"/>
            <w:hideMark/>
          </w:tcPr>
          <w:p w14:paraId="69431518"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Trabalhadores não Assalariados (%)</w:t>
            </w:r>
          </w:p>
        </w:tc>
        <w:tc>
          <w:tcPr>
            <w:tcW w:w="1520" w:type="dxa"/>
            <w:tcBorders>
              <w:top w:val="nil"/>
              <w:left w:val="nil"/>
              <w:bottom w:val="single" w:sz="4" w:space="0" w:color="auto"/>
              <w:right w:val="single" w:sz="4" w:space="0" w:color="auto"/>
            </w:tcBorders>
            <w:shd w:val="clear" w:color="000000" w:fill="A6A6A6"/>
            <w:vAlign w:val="center"/>
            <w:hideMark/>
          </w:tcPr>
          <w:p w14:paraId="4D8D362D"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Trabalhadores Assalariados (%)</w:t>
            </w:r>
          </w:p>
        </w:tc>
        <w:tc>
          <w:tcPr>
            <w:tcW w:w="1520" w:type="dxa"/>
            <w:tcBorders>
              <w:top w:val="nil"/>
              <w:left w:val="nil"/>
              <w:bottom w:val="single" w:sz="4" w:space="0" w:color="auto"/>
              <w:right w:val="nil"/>
            </w:tcBorders>
            <w:shd w:val="clear" w:color="000000" w:fill="A6A6A6"/>
            <w:vAlign w:val="center"/>
            <w:hideMark/>
          </w:tcPr>
          <w:p w14:paraId="3D642ADF"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Trabalhadores não Assalariados (%)</w:t>
            </w:r>
          </w:p>
        </w:tc>
      </w:tr>
      <w:tr w:rsidR="00A44321" w:rsidRPr="00A44321" w14:paraId="5FADCD23" w14:textId="77777777" w:rsidTr="00A44321">
        <w:trPr>
          <w:trHeight w:val="300"/>
        </w:trPr>
        <w:tc>
          <w:tcPr>
            <w:tcW w:w="840" w:type="dxa"/>
            <w:vMerge w:val="restart"/>
            <w:tcBorders>
              <w:top w:val="nil"/>
              <w:left w:val="nil"/>
              <w:bottom w:val="single" w:sz="4" w:space="0" w:color="auto"/>
              <w:right w:val="single" w:sz="4" w:space="0" w:color="auto"/>
            </w:tcBorders>
            <w:shd w:val="clear" w:color="auto" w:fill="auto"/>
            <w:noWrap/>
            <w:vAlign w:val="center"/>
            <w:hideMark/>
          </w:tcPr>
          <w:p w14:paraId="57CC1312"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2001</w:t>
            </w:r>
          </w:p>
        </w:tc>
        <w:tc>
          <w:tcPr>
            <w:tcW w:w="1400" w:type="dxa"/>
            <w:tcBorders>
              <w:top w:val="nil"/>
              <w:left w:val="nil"/>
              <w:bottom w:val="nil"/>
              <w:right w:val="single" w:sz="4" w:space="0" w:color="auto"/>
            </w:tcBorders>
            <w:shd w:val="clear" w:color="auto" w:fill="auto"/>
            <w:vAlign w:val="center"/>
            <w:hideMark/>
          </w:tcPr>
          <w:p w14:paraId="4B047BEB"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Até 14 horas</w:t>
            </w:r>
          </w:p>
        </w:tc>
        <w:tc>
          <w:tcPr>
            <w:tcW w:w="1520" w:type="dxa"/>
            <w:tcBorders>
              <w:top w:val="nil"/>
              <w:left w:val="nil"/>
              <w:bottom w:val="nil"/>
              <w:right w:val="single" w:sz="4" w:space="0" w:color="auto"/>
            </w:tcBorders>
            <w:shd w:val="clear" w:color="auto" w:fill="auto"/>
            <w:noWrap/>
            <w:vAlign w:val="center"/>
            <w:hideMark/>
          </w:tcPr>
          <w:p w14:paraId="0612D32C"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1,48</w:t>
            </w:r>
          </w:p>
        </w:tc>
        <w:tc>
          <w:tcPr>
            <w:tcW w:w="1520" w:type="dxa"/>
            <w:tcBorders>
              <w:top w:val="nil"/>
              <w:left w:val="nil"/>
              <w:bottom w:val="nil"/>
              <w:right w:val="single" w:sz="4" w:space="0" w:color="auto"/>
            </w:tcBorders>
            <w:shd w:val="clear" w:color="auto" w:fill="auto"/>
            <w:noWrap/>
            <w:vAlign w:val="center"/>
            <w:hideMark/>
          </w:tcPr>
          <w:p w14:paraId="1B3BE892"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4,87</w:t>
            </w:r>
          </w:p>
        </w:tc>
        <w:tc>
          <w:tcPr>
            <w:tcW w:w="1520" w:type="dxa"/>
            <w:tcBorders>
              <w:top w:val="nil"/>
              <w:left w:val="nil"/>
              <w:bottom w:val="nil"/>
              <w:right w:val="single" w:sz="4" w:space="0" w:color="auto"/>
            </w:tcBorders>
            <w:shd w:val="clear" w:color="auto" w:fill="auto"/>
            <w:noWrap/>
            <w:vAlign w:val="center"/>
            <w:hideMark/>
          </w:tcPr>
          <w:p w14:paraId="6455FB9C"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1,15</w:t>
            </w:r>
          </w:p>
        </w:tc>
        <w:tc>
          <w:tcPr>
            <w:tcW w:w="1520" w:type="dxa"/>
            <w:tcBorders>
              <w:top w:val="nil"/>
              <w:left w:val="nil"/>
              <w:bottom w:val="nil"/>
              <w:right w:val="nil"/>
            </w:tcBorders>
            <w:shd w:val="clear" w:color="auto" w:fill="auto"/>
            <w:noWrap/>
            <w:vAlign w:val="center"/>
            <w:hideMark/>
          </w:tcPr>
          <w:p w14:paraId="51A26FF4"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3,71</w:t>
            </w:r>
          </w:p>
        </w:tc>
      </w:tr>
      <w:tr w:rsidR="00A44321" w:rsidRPr="00A44321" w14:paraId="08F5F16E"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29A3AE54"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0763949A"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15 a 39 horas</w:t>
            </w:r>
          </w:p>
        </w:tc>
        <w:tc>
          <w:tcPr>
            <w:tcW w:w="1520" w:type="dxa"/>
            <w:tcBorders>
              <w:top w:val="nil"/>
              <w:left w:val="nil"/>
              <w:bottom w:val="nil"/>
              <w:right w:val="single" w:sz="4" w:space="0" w:color="auto"/>
            </w:tcBorders>
            <w:shd w:val="clear" w:color="auto" w:fill="auto"/>
            <w:noWrap/>
            <w:vAlign w:val="center"/>
            <w:hideMark/>
          </w:tcPr>
          <w:p w14:paraId="12488162"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11,05</w:t>
            </w:r>
          </w:p>
        </w:tc>
        <w:tc>
          <w:tcPr>
            <w:tcW w:w="1520" w:type="dxa"/>
            <w:tcBorders>
              <w:top w:val="nil"/>
              <w:left w:val="nil"/>
              <w:bottom w:val="nil"/>
              <w:right w:val="single" w:sz="4" w:space="0" w:color="auto"/>
            </w:tcBorders>
            <w:shd w:val="clear" w:color="000000" w:fill="D9D9D9"/>
            <w:noWrap/>
            <w:vAlign w:val="center"/>
            <w:hideMark/>
          </w:tcPr>
          <w:p w14:paraId="0298513D"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11,26</w:t>
            </w:r>
          </w:p>
        </w:tc>
        <w:tc>
          <w:tcPr>
            <w:tcW w:w="1520" w:type="dxa"/>
            <w:tcBorders>
              <w:top w:val="nil"/>
              <w:left w:val="nil"/>
              <w:bottom w:val="nil"/>
              <w:right w:val="single" w:sz="4" w:space="0" w:color="auto"/>
            </w:tcBorders>
            <w:shd w:val="clear" w:color="auto" w:fill="auto"/>
            <w:noWrap/>
            <w:vAlign w:val="center"/>
            <w:hideMark/>
          </w:tcPr>
          <w:p w14:paraId="28715353"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12,28</w:t>
            </w:r>
          </w:p>
        </w:tc>
        <w:tc>
          <w:tcPr>
            <w:tcW w:w="1520" w:type="dxa"/>
            <w:tcBorders>
              <w:top w:val="nil"/>
              <w:left w:val="nil"/>
              <w:bottom w:val="nil"/>
              <w:right w:val="nil"/>
            </w:tcBorders>
            <w:shd w:val="clear" w:color="000000" w:fill="D9D9D9"/>
            <w:noWrap/>
            <w:vAlign w:val="center"/>
            <w:hideMark/>
          </w:tcPr>
          <w:p w14:paraId="1E96598B"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11,65</w:t>
            </w:r>
          </w:p>
        </w:tc>
      </w:tr>
      <w:tr w:rsidR="00A44321" w:rsidRPr="00A44321" w14:paraId="5E838CD6"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5E3BCAD2"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36E0CD88"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40 a 44 horas</w:t>
            </w:r>
          </w:p>
        </w:tc>
        <w:tc>
          <w:tcPr>
            <w:tcW w:w="1520" w:type="dxa"/>
            <w:tcBorders>
              <w:top w:val="nil"/>
              <w:left w:val="nil"/>
              <w:bottom w:val="nil"/>
              <w:right w:val="single" w:sz="4" w:space="0" w:color="auto"/>
            </w:tcBorders>
            <w:shd w:val="clear" w:color="000000" w:fill="D9D9D9"/>
            <w:noWrap/>
            <w:vAlign w:val="center"/>
            <w:hideMark/>
          </w:tcPr>
          <w:p w14:paraId="69399BD1"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25,36</w:t>
            </w:r>
          </w:p>
        </w:tc>
        <w:tc>
          <w:tcPr>
            <w:tcW w:w="1520" w:type="dxa"/>
            <w:tcBorders>
              <w:top w:val="nil"/>
              <w:left w:val="nil"/>
              <w:bottom w:val="nil"/>
              <w:right w:val="single" w:sz="4" w:space="0" w:color="auto"/>
            </w:tcBorders>
            <w:shd w:val="clear" w:color="auto" w:fill="auto"/>
            <w:noWrap/>
            <w:vAlign w:val="center"/>
            <w:hideMark/>
          </w:tcPr>
          <w:p w14:paraId="621B90B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7,42</w:t>
            </w:r>
          </w:p>
        </w:tc>
        <w:tc>
          <w:tcPr>
            <w:tcW w:w="1520" w:type="dxa"/>
            <w:tcBorders>
              <w:top w:val="nil"/>
              <w:left w:val="nil"/>
              <w:bottom w:val="nil"/>
              <w:right w:val="single" w:sz="4" w:space="0" w:color="auto"/>
            </w:tcBorders>
            <w:shd w:val="clear" w:color="000000" w:fill="D9D9D9"/>
            <w:noWrap/>
            <w:vAlign w:val="center"/>
            <w:hideMark/>
          </w:tcPr>
          <w:p w14:paraId="568BBCFB"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18,16</w:t>
            </w:r>
          </w:p>
        </w:tc>
        <w:tc>
          <w:tcPr>
            <w:tcW w:w="1520" w:type="dxa"/>
            <w:tcBorders>
              <w:top w:val="nil"/>
              <w:left w:val="nil"/>
              <w:bottom w:val="nil"/>
              <w:right w:val="nil"/>
            </w:tcBorders>
            <w:shd w:val="clear" w:color="auto" w:fill="auto"/>
            <w:noWrap/>
            <w:vAlign w:val="center"/>
            <w:hideMark/>
          </w:tcPr>
          <w:p w14:paraId="49DDD6BA"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6,61</w:t>
            </w:r>
          </w:p>
        </w:tc>
      </w:tr>
      <w:tr w:rsidR="00A44321" w:rsidRPr="00A44321" w14:paraId="05C9217E"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77BEE3D3"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7137200B"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45 a 48 horas</w:t>
            </w:r>
          </w:p>
        </w:tc>
        <w:tc>
          <w:tcPr>
            <w:tcW w:w="1520" w:type="dxa"/>
            <w:tcBorders>
              <w:top w:val="nil"/>
              <w:left w:val="nil"/>
              <w:bottom w:val="nil"/>
              <w:right w:val="single" w:sz="4" w:space="0" w:color="auto"/>
            </w:tcBorders>
            <w:shd w:val="clear" w:color="000000" w:fill="D9D9D9"/>
            <w:noWrap/>
            <w:vAlign w:val="center"/>
            <w:hideMark/>
          </w:tcPr>
          <w:p w14:paraId="6AD532B7"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12,77</w:t>
            </w:r>
          </w:p>
        </w:tc>
        <w:tc>
          <w:tcPr>
            <w:tcW w:w="1520" w:type="dxa"/>
            <w:tcBorders>
              <w:top w:val="nil"/>
              <w:left w:val="nil"/>
              <w:bottom w:val="nil"/>
              <w:right w:val="single" w:sz="4" w:space="0" w:color="auto"/>
            </w:tcBorders>
            <w:shd w:val="clear" w:color="auto" w:fill="auto"/>
            <w:noWrap/>
            <w:vAlign w:val="center"/>
            <w:hideMark/>
          </w:tcPr>
          <w:p w14:paraId="100785E7"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4,49</w:t>
            </w:r>
          </w:p>
        </w:tc>
        <w:tc>
          <w:tcPr>
            <w:tcW w:w="1520" w:type="dxa"/>
            <w:tcBorders>
              <w:top w:val="nil"/>
              <w:left w:val="nil"/>
              <w:bottom w:val="nil"/>
              <w:right w:val="single" w:sz="4" w:space="0" w:color="auto"/>
            </w:tcBorders>
            <w:shd w:val="clear" w:color="000000" w:fill="D9D9D9"/>
            <w:noWrap/>
            <w:vAlign w:val="center"/>
            <w:hideMark/>
          </w:tcPr>
          <w:p w14:paraId="0BA8A64B"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13,98</w:t>
            </w:r>
          </w:p>
        </w:tc>
        <w:tc>
          <w:tcPr>
            <w:tcW w:w="1520" w:type="dxa"/>
            <w:tcBorders>
              <w:top w:val="nil"/>
              <w:left w:val="nil"/>
              <w:bottom w:val="nil"/>
              <w:right w:val="nil"/>
            </w:tcBorders>
            <w:shd w:val="clear" w:color="auto" w:fill="auto"/>
            <w:noWrap/>
            <w:vAlign w:val="center"/>
            <w:hideMark/>
          </w:tcPr>
          <w:p w14:paraId="600047A3"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4,59</w:t>
            </w:r>
          </w:p>
        </w:tc>
      </w:tr>
      <w:tr w:rsidR="00A44321" w:rsidRPr="00A44321" w14:paraId="0B9E20CB" w14:textId="77777777" w:rsidTr="00A44321">
        <w:trPr>
          <w:trHeight w:val="600"/>
        </w:trPr>
        <w:tc>
          <w:tcPr>
            <w:tcW w:w="840" w:type="dxa"/>
            <w:vMerge/>
            <w:tcBorders>
              <w:top w:val="nil"/>
              <w:left w:val="nil"/>
              <w:bottom w:val="single" w:sz="4" w:space="0" w:color="auto"/>
              <w:right w:val="single" w:sz="4" w:space="0" w:color="auto"/>
            </w:tcBorders>
            <w:vAlign w:val="center"/>
            <w:hideMark/>
          </w:tcPr>
          <w:p w14:paraId="10169A1F"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single" w:sz="4" w:space="0" w:color="auto"/>
              <w:right w:val="single" w:sz="4" w:space="0" w:color="auto"/>
            </w:tcBorders>
            <w:shd w:val="clear" w:color="auto" w:fill="auto"/>
            <w:vAlign w:val="center"/>
            <w:hideMark/>
          </w:tcPr>
          <w:p w14:paraId="4E234558"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49 horas ou mais</w:t>
            </w:r>
          </w:p>
        </w:tc>
        <w:tc>
          <w:tcPr>
            <w:tcW w:w="1520" w:type="dxa"/>
            <w:tcBorders>
              <w:top w:val="nil"/>
              <w:left w:val="nil"/>
              <w:bottom w:val="single" w:sz="4" w:space="0" w:color="auto"/>
              <w:right w:val="single" w:sz="4" w:space="0" w:color="auto"/>
            </w:tcBorders>
            <w:shd w:val="clear" w:color="auto" w:fill="auto"/>
            <w:noWrap/>
            <w:vAlign w:val="center"/>
            <w:hideMark/>
          </w:tcPr>
          <w:p w14:paraId="3A280FA5"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11,37</w:t>
            </w:r>
          </w:p>
        </w:tc>
        <w:tc>
          <w:tcPr>
            <w:tcW w:w="1520" w:type="dxa"/>
            <w:tcBorders>
              <w:top w:val="nil"/>
              <w:left w:val="nil"/>
              <w:bottom w:val="single" w:sz="4" w:space="0" w:color="auto"/>
              <w:right w:val="single" w:sz="4" w:space="0" w:color="auto"/>
            </w:tcBorders>
            <w:shd w:val="clear" w:color="000000" w:fill="D9D9D9"/>
            <w:noWrap/>
            <w:vAlign w:val="center"/>
            <w:hideMark/>
          </w:tcPr>
          <w:p w14:paraId="2DECFC24"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9,84</w:t>
            </w:r>
          </w:p>
        </w:tc>
        <w:tc>
          <w:tcPr>
            <w:tcW w:w="1520" w:type="dxa"/>
            <w:tcBorders>
              <w:top w:val="nil"/>
              <w:left w:val="nil"/>
              <w:bottom w:val="single" w:sz="4" w:space="0" w:color="auto"/>
              <w:right w:val="single" w:sz="4" w:space="0" w:color="auto"/>
            </w:tcBorders>
            <w:shd w:val="clear" w:color="auto" w:fill="auto"/>
            <w:noWrap/>
            <w:vAlign w:val="center"/>
            <w:hideMark/>
          </w:tcPr>
          <w:p w14:paraId="7791CAB0"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16,05</w:t>
            </w:r>
          </w:p>
        </w:tc>
        <w:tc>
          <w:tcPr>
            <w:tcW w:w="1520" w:type="dxa"/>
            <w:tcBorders>
              <w:top w:val="nil"/>
              <w:left w:val="nil"/>
              <w:bottom w:val="single" w:sz="4" w:space="0" w:color="auto"/>
              <w:right w:val="nil"/>
            </w:tcBorders>
            <w:shd w:val="clear" w:color="000000" w:fill="D9D9D9"/>
            <w:noWrap/>
            <w:vAlign w:val="center"/>
            <w:hideMark/>
          </w:tcPr>
          <w:p w14:paraId="2F19CB6F"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11,72</w:t>
            </w:r>
          </w:p>
        </w:tc>
      </w:tr>
      <w:tr w:rsidR="00A44321" w:rsidRPr="00A44321" w14:paraId="3B9F38EB" w14:textId="77777777" w:rsidTr="00A44321">
        <w:trPr>
          <w:trHeight w:val="300"/>
        </w:trPr>
        <w:tc>
          <w:tcPr>
            <w:tcW w:w="840" w:type="dxa"/>
            <w:vMerge w:val="restart"/>
            <w:tcBorders>
              <w:top w:val="nil"/>
              <w:left w:val="nil"/>
              <w:bottom w:val="single" w:sz="4" w:space="0" w:color="auto"/>
              <w:right w:val="single" w:sz="4" w:space="0" w:color="auto"/>
            </w:tcBorders>
            <w:shd w:val="clear" w:color="auto" w:fill="auto"/>
            <w:noWrap/>
            <w:vAlign w:val="center"/>
            <w:hideMark/>
          </w:tcPr>
          <w:p w14:paraId="4C5CB974"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2006</w:t>
            </w:r>
          </w:p>
        </w:tc>
        <w:tc>
          <w:tcPr>
            <w:tcW w:w="1400" w:type="dxa"/>
            <w:tcBorders>
              <w:top w:val="nil"/>
              <w:left w:val="nil"/>
              <w:bottom w:val="nil"/>
              <w:right w:val="single" w:sz="4" w:space="0" w:color="auto"/>
            </w:tcBorders>
            <w:shd w:val="clear" w:color="auto" w:fill="auto"/>
            <w:vAlign w:val="center"/>
            <w:hideMark/>
          </w:tcPr>
          <w:p w14:paraId="1C436957"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Até 14 horas</w:t>
            </w:r>
          </w:p>
        </w:tc>
        <w:tc>
          <w:tcPr>
            <w:tcW w:w="1520" w:type="dxa"/>
            <w:tcBorders>
              <w:top w:val="nil"/>
              <w:left w:val="nil"/>
              <w:bottom w:val="nil"/>
              <w:right w:val="single" w:sz="4" w:space="0" w:color="auto"/>
            </w:tcBorders>
            <w:shd w:val="clear" w:color="auto" w:fill="auto"/>
            <w:noWrap/>
            <w:vAlign w:val="center"/>
            <w:hideMark/>
          </w:tcPr>
          <w:p w14:paraId="612CEC0C"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1,71</w:t>
            </w:r>
          </w:p>
        </w:tc>
        <w:tc>
          <w:tcPr>
            <w:tcW w:w="1520" w:type="dxa"/>
            <w:tcBorders>
              <w:top w:val="nil"/>
              <w:left w:val="nil"/>
              <w:bottom w:val="nil"/>
              <w:right w:val="single" w:sz="4" w:space="0" w:color="auto"/>
            </w:tcBorders>
            <w:shd w:val="clear" w:color="auto" w:fill="auto"/>
            <w:noWrap/>
            <w:vAlign w:val="center"/>
            <w:hideMark/>
          </w:tcPr>
          <w:p w14:paraId="1368601A"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5,72</w:t>
            </w:r>
          </w:p>
        </w:tc>
        <w:tc>
          <w:tcPr>
            <w:tcW w:w="1520" w:type="dxa"/>
            <w:tcBorders>
              <w:top w:val="nil"/>
              <w:left w:val="nil"/>
              <w:bottom w:val="nil"/>
              <w:right w:val="single" w:sz="4" w:space="0" w:color="auto"/>
            </w:tcBorders>
            <w:shd w:val="clear" w:color="auto" w:fill="auto"/>
            <w:noWrap/>
            <w:vAlign w:val="center"/>
            <w:hideMark/>
          </w:tcPr>
          <w:p w14:paraId="263B93D2"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0,88</w:t>
            </w:r>
          </w:p>
        </w:tc>
        <w:tc>
          <w:tcPr>
            <w:tcW w:w="1520" w:type="dxa"/>
            <w:tcBorders>
              <w:top w:val="nil"/>
              <w:left w:val="nil"/>
              <w:bottom w:val="nil"/>
              <w:right w:val="nil"/>
            </w:tcBorders>
            <w:shd w:val="clear" w:color="auto" w:fill="auto"/>
            <w:noWrap/>
            <w:vAlign w:val="center"/>
            <w:hideMark/>
          </w:tcPr>
          <w:p w14:paraId="56A2B8FA"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8,52</w:t>
            </w:r>
          </w:p>
        </w:tc>
      </w:tr>
      <w:tr w:rsidR="00A44321" w:rsidRPr="00A44321" w14:paraId="61543E95"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66577100"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439700D7"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15 a 39 horas</w:t>
            </w:r>
          </w:p>
        </w:tc>
        <w:tc>
          <w:tcPr>
            <w:tcW w:w="1520" w:type="dxa"/>
            <w:tcBorders>
              <w:top w:val="nil"/>
              <w:left w:val="nil"/>
              <w:bottom w:val="nil"/>
              <w:right w:val="single" w:sz="4" w:space="0" w:color="auto"/>
            </w:tcBorders>
            <w:shd w:val="clear" w:color="000000" w:fill="D9D9D9"/>
            <w:noWrap/>
            <w:vAlign w:val="center"/>
            <w:hideMark/>
          </w:tcPr>
          <w:p w14:paraId="13080AE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12,25</w:t>
            </w:r>
          </w:p>
        </w:tc>
        <w:tc>
          <w:tcPr>
            <w:tcW w:w="1520" w:type="dxa"/>
            <w:tcBorders>
              <w:top w:val="nil"/>
              <w:left w:val="nil"/>
              <w:bottom w:val="nil"/>
              <w:right w:val="single" w:sz="4" w:space="0" w:color="auto"/>
            </w:tcBorders>
            <w:shd w:val="clear" w:color="000000" w:fill="D9D9D9"/>
            <w:noWrap/>
            <w:vAlign w:val="center"/>
            <w:hideMark/>
          </w:tcPr>
          <w:p w14:paraId="36970EBE"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11,54</w:t>
            </w:r>
          </w:p>
        </w:tc>
        <w:tc>
          <w:tcPr>
            <w:tcW w:w="1520" w:type="dxa"/>
            <w:tcBorders>
              <w:top w:val="nil"/>
              <w:left w:val="nil"/>
              <w:bottom w:val="nil"/>
              <w:right w:val="single" w:sz="4" w:space="0" w:color="auto"/>
            </w:tcBorders>
            <w:shd w:val="clear" w:color="auto" w:fill="auto"/>
            <w:noWrap/>
            <w:vAlign w:val="center"/>
            <w:hideMark/>
          </w:tcPr>
          <w:p w14:paraId="5C1D6C2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11,52</w:t>
            </w:r>
          </w:p>
        </w:tc>
        <w:tc>
          <w:tcPr>
            <w:tcW w:w="1520" w:type="dxa"/>
            <w:tcBorders>
              <w:top w:val="nil"/>
              <w:left w:val="nil"/>
              <w:bottom w:val="nil"/>
              <w:right w:val="nil"/>
            </w:tcBorders>
            <w:shd w:val="clear" w:color="000000" w:fill="D9D9D9"/>
            <w:noWrap/>
            <w:vAlign w:val="center"/>
            <w:hideMark/>
          </w:tcPr>
          <w:p w14:paraId="6FCB3244"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18,22</w:t>
            </w:r>
          </w:p>
        </w:tc>
      </w:tr>
      <w:tr w:rsidR="00A44321" w:rsidRPr="00A44321" w14:paraId="219071E0"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77F1B8E9"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0F4FBA3C"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40 a 44 horas</w:t>
            </w:r>
          </w:p>
        </w:tc>
        <w:tc>
          <w:tcPr>
            <w:tcW w:w="1520" w:type="dxa"/>
            <w:tcBorders>
              <w:top w:val="nil"/>
              <w:left w:val="nil"/>
              <w:bottom w:val="nil"/>
              <w:right w:val="single" w:sz="4" w:space="0" w:color="auto"/>
            </w:tcBorders>
            <w:shd w:val="clear" w:color="000000" w:fill="D9D9D9"/>
            <w:noWrap/>
            <w:vAlign w:val="center"/>
            <w:hideMark/>
          </w:tcPr>
          <w:p w14:paraId="00A83F61"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27,6</w:t>
            </w:r>
          </w:p>
        </w:tc>
        <w:tc>
          <w:tcPr>
            <w:tcW w:w="1520" w:type="dxa"/>
            <w:tcBorders>
              <w:top w:val="nil"/>
              <w:left w:val="nil"/>
              <w:bottom w:val="nil"/>
              <w:right w:val="single" w:sz="4" w:space="0" w:color="auto"/>
            </w:tcBorders>
            <w:shd w:val="clear" w:color="auto" w:fill="auto"/>
            <w:noWrap/>
            <w:vAlign w:val="center"/>
            <w:hideMark/>
          </w:tcPr>
          <w:p w14:paraId="51942CD3"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7,34</w:t>
            </w:r>
          </w:p>
        </w:tc>
        <w:tc>
          <w:tcPr>
            <w:tcW w:w="1520" w:type="dxa"/>
            <w:tcBorders>
              <w:top w:val="nil"/>
              <w:left w:val="nil"/>
              <w:bottom w:val="nil"/>
              <w:right w:val="single" w:sz="4" w:space="0" w:color="auto"/>
            </w:tcBorders>
            <w:shd w:val="clear" w:color="000000" w:fill="D9D9D9"/>
            <w:noWrap/>
            <w:vAlign w:val="center"/>
            <w:hideMark/>
          </w:tcPr>
          <w:p w14:paraId="3C888A86"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18,08</w:t>
            </w:r>
          </w:p>
        </w:tc>
        <w:tc>
          <w:tcPr>
            <w:tcW w:w="1520" w:type="dxa"/>
            <w:tcBorders>
              <w:top w:val="nil"/>
              <w:left w:val="nil"/>
              <w:bottom w:val="nil"/>
              <w:right w:val="nil"/>
            </w:tcBorders>
            <w:shd w:val="clear" w:color="000000" w:fill="D9D9D9"/>
            <w:noWrap/>
            <w:vAlign w:val="center"/>
            <w:hideMark/>
          </w:tcPr>
          <w:p w14:paraId="5D36FCE3"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8,77</w:t>
            </w:r>
          </w:p>
        </w:tc>
      </w:tr>
      <w:tr w:rsidR="00A44321" w:rsidRPr="00A44321" w14:paraId="6DC63F6C"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3D6D56F2"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26AD6113"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45 a 48 horas</w:t>
            </w:r>
          </w:p>
        </w:tc>
        <w:tc>
          <w:tcPr>
            <w:tcW w:w="1520" w:type="dxa"/>
            <w:tcBorders>
              <w:top w:val="nil"/>
              <w:left w:val="nil"/>
              <w:bottom w:val="nil"/>
              <w:right w:val="single" w:sz="4" w:space="0" w:color="auto"/>
            </w:tcBorders>
            <w:shd w:val="clear" w:color="auto" w:fill="auto"/>
            <w:noWrap/>
            <w:vAlign w:val="center"/>
            <w:hideMark/>
          </w:tcPr>
          <w:p w14:paraId="6471E39A"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12,17</w:t>
            </w:r>
          </w:p>
        </w:tc>
        <w:tc>
          <w:tcPr>
            <w:tcW w:w="1520" w:type="dxa"/>
            <w:tcBorders>
              <w:top w:val="nil"/>
              <w:left w:val="nil"/>
              <w:bottom w:val="nil"/>
              <w:right w:val="single" w:sz="4" w:space="0" w:color="auto"/>
            </w:tcBorders>
            <w:shd w:val="clear" w:color="auto" w:fill="auto"/>
            <w:noWrap/>
            <w:vAlign w:val="center"/>
            <w:hideMark/>
          </w:tcPr>
          <w:p w14:paraId="003572A6"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3,88</w:t>
            </w:r>
          </w:p>
        </w:tc>
        <w:tc>
          <w:tcPr>
            <w:tcW w:w="1520" w:type="dxa"/>
            <w:tcBorders>
              <w:top w:val="nil"/>
              <w:left w:val="nil"/>
              <w:bottom w:val="nil"/>
              <w:right w:val="single" w:sz="4" w:space="0" w:color="auto"/>
            </w:tcBorders>
            <w:shd w:val="clear" w:color="000000" w:fill="D9D9D9"/>
            <w:noWrap/>
            <w:vAlign w:val="center"/>
            <w:hideMark/>
          </w:tcPr>
          <w:p w14:paraId="1D7C0CC5"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12,42</w:t>
            </w:r>
          </w:p>
        </w:tc>
        <w:tc>
          <w:tcPr>
            <w:tcW w:w="1520" w:type="dxa"/>
            <w:tcBorders>
              <w:top w:val="nil"/>
              <w:left w:val="nil"/>
              <w:bottom w:val="nil"/>
              <w:right w:val="nil"/>
            </w:tcBorders>
            <w:shd w:val="clear" w:color="auto" w:fill="auto"/>
            <w:noWrap/>
            <w:vAlign w:val="center"/>
            <w:hideMark/>
          </w:tcPr>
          <w:p w14:paraId="3B029977"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4,97</w:t>
            </w:r>
          </w:p>
        </w:tc>
      </w:tr>
      <w:tr w:rsidR="00A44321" w:rsidRPr="00A44321" w14:paraId="47696FA6" w14:textId="77777777" w:rsidTr="00A44321">
        <w:trPr>
          <w:trHeight w:val="600"/>
        </w:trPr>
        <w:tc>
          <w:tcPr>
            <w:tcW w:w="840" w:type="dxa"/>
            <w:vMerge/>
            <w:tcBorders>
              <w:top w:val="nil"/>
              <w:left w:val="nil"/>
              <w:bottom w:val="single" w:sz="4" w:space="0" w:color="auto"/>
              <w:right w:val="single" w:sz="4" w:space="0" w:color="auto"/>
            </w:tcBorders>
            <w:vAlign w:val="center"/>
            <w:hideMark/>
          </w:tcPr>
          <w:p w14:paraId="697C003A"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single" w:sz="4" w:space="0" w:color="auto"/>
              <w:right w:val="single" w:sz="4" w:space="0" w:color="auto"/>
            </w:tcBorders>
            <w:shd w:val="clear" w:color="auto" w:fill="auto"/>
            <w:vAlign w:val="center"/>
            <w:hideMark/>
          </w:tcPr>
          <w:p w14:paraId="5521A3C9"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49 horas ou mais</w:t>
            </w:r>
          </w:p>
        </w:tc>
        <w:tc>
          <w:tcPr>
            <w:tcW w:w="1520" w:type="dxa"/>
            <w:tcBorders>
              <w:top w:val="nil"/>
              <w:left w:val="nil"/>
              <w:bottom w:val="single" w:sz="4" w:space="0" w:color="auto"/>
              <w:right w:val="single" w:sz="4" w:space="0" w:color="auto"/>
            </w:tcBorders>
            <w:shd w:val="clear" w:color="auto" w:fill="auto"/>
            <w:noWrap/>
            <w:vAlign w:val="center"/>
            <w:hideMark/>
          </w:tcPr>
          <w:p w14:paraId="06953362"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9,73</w:t>
            </w:r>
          </w:p>
        </w:tc>
        <w:tc>
          <w:tcPr>
            <w:tcW w:w="1520" w:type="dxa"/>
            <w:tcBorders>
              <w:top w:val="nil"/>
              <w:left w:val="nil"/>
              <w:bottom w:val="single" w:sz="4" w:space="0" w:color="auto"/>
              <w:right w:val="single" w:sz="4" w:space="0" w:color="auto"/>
            </w:tcBorders>
            <w:shd w:val="clear" w:color="000000" w:fill="D9D9D9"/>
            <w:noWrap/>
            <w:vAlign w:val="center"/>
            <w:hideMark/>
          </w:tcPr>
          <w:p w14:paraId="24E0F684"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7,99</w:t>
            </w:r>
          </w:p>
        </w:tc>
        <w:tc>
          <w:tcPr>
            <w:tcW w:w="1520" w:type="dxa"/>
            <w:tcBorders>
              <w:top w:val="nil"/>
              <w:left w:val="nil"/>
              <w:bottom w:val="single" w:sz="4" w:space="0" w:color="auto"/>
              <w:right w:val="single" w:sz="4" w:space="0" w:color="auto"/>
            </w:tcBorders>
            <w:shd w:val="clear" w:color="auto" w:fill="auto"/>
            <w:noWrap/>
            <w:vAlign w:val="center"/>
            <w:hideMark/>
          </w:tcPr>
          <w:p w14:paraId="655DFD7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9,04</w:t>
            </w:r>
          </w:p>
        </w:tc>
        <w:tc>
          <w:tcPr>
            <w:tcW w:w="1520" w:type="dxa"/>
            <w:tcBorders>
              <w:top w:val="nil"/>
              <w:left w:val="nil"/>
              <w:bottom w:val="single" w:sz="4" w:space="0" w:color="auto"/>
              <w:right w:val="nil"/>
            </w:tcBorders>
            <w:shd w:val="clear" w:color="auto" w:fill="auto"/>
            <w:noWrap/>
            <w:vAlign w:val="center"/>
            <w:hideMark/>
          </w:tcPr>
          <w:p w14:paraId="61D1C46D"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7,6</w:t>
            </w:r>
          </w:p>
        </w:tc>
      </w:tr>
      <w:tr w:rsidR="00A44321" w:rsidRPr="00A44321" w14:paraId="2E400010" w14:textId="77777777" w:rsidTr="00A44321">
        <w:trPr>
          <w:trHeight w:val="300"/>
        </w:trPr>
        <w:tc>
          <w:tcPr>
            <w:tcW w:w="840" w:type="dxa"/>
            <w:vMerge w:val="restart"/>
            <w:tcBorders>
              <w:top w:val="nil"/>
              <w:left w:val="nil"/>
              <w:bottom w:val="single" w:sz="4" w:space="0" w:color="auto"/>
              <w:right w:val="single" w:sz="4" w:space="0" w:color="auto"/>
            </w:tcBorders>
            <w:shd w:val="clear" w:color="auto" w:fill="auto"/>
            <w:noWrap/>
            <w:vAlign w:val="center"/>
            <w:hideMark/>
          </w:tcPr>
          <w:p w14:paraId="32ED1C48"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2011</w:t>
            </w:r>
          </w:p>
        </w:tc>
        <w:tc>
          <w:tcPr>
            <w:tcW w:w="1400" w:type="dxa"/>
            <w:tcBorders>
              <w:top w:val="nil"/>
              <w:left w:val="nil"/>
              <w:bottom w:val="nil"/>
              <w:right w:val="single" w:sz="4" w:space="0" w:color="auto"/>
            </w:tcBorders>
            <w:shd w:val="clear" w:color="auto" w:fill="auto"/>
            <w:vAlign w:val="center"/>
            <w:hideMark/>
          </w:tcPr>
          <w:p w14:paraId="4D62BBFD"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Até 14 horas</w:t>
            </w:r>
          </w:p>
        </w:tc>
        <w:tc>
          <w:tcPr>
            <w:tcW w:w="1520" w:type="dxa"/>
            <w:tcBorders>
              <w:top w:val="nil"/>
              <w:left w:val="nil"/>
              <w:bottom w:val="nil"/>
              <w:right w:val="single" w:sz="4" w:space="0" w:color="auto"/>
            </w:tcBorders>
            <w:shd w:val="clear" w:color="auto" w:fill="auto"/>
            <w:noWrap/>
            <w:vAlign w:val="center"/>
            <w:hideMark/>
          </w:tcPr>
          <w:p w14:paraId="5FD2BDD6"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2,16</w:t>
            </w:r>
          </w:p>
        </w:tc>
        <w:tc>
          <w:tcPr>
            <w:tcW w:w="1520" w:type="dxa"/>
            <w:tcBorders>
              <w:top w:val="nil"/>
              <w:left w:val="nil"/>
              <w:bottom w:val="nil"/>
              <w:right w:val="single" w:sz="4" w:space="0" w:color="auto"/>
            </w:tcBorders>
            <w:shd w:val="clear" w:color="auto" w:fill="auto"/>
            <w:noWrap/>
            <w:vAlign w:val="center"/>
            <w:hideMark/>
          </w:tcPr>
          <w:p w14:paraId="32C9AE4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3,69</w:t>
            </w:r>
          </w:p>
        </w:tc>
        <w:tc>
          <w:tcPr>
            <w:tcW w:w="1520" w:type="dxa"/>
            <w:tcBorders>
              <w:top w:val="nil"/>
              <w:left w:val="nil"/>
              <w:bottom w:val="nil"/>
              <w:right w:val="single" w:sz="4" w:space="0" w:color="auto"/>
            </w:tcBorders>
            <w:shd w:val="clear" w:color="auto" w:fill="auto"/>
            <w:noWrap/>
            <w:vAlign w:val="center"/>
            <w:hideMark/>
          </w:tcPr>
          <w:p w14:paraId="7E2FDD70"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1,96</w:t>
            </w:r>
          </w:p>
        </w:tc>
        <w:tc>
          <w:tcPr>
            <w:tcW w:w="1520" w:type="dxa"/>
            <w:tcBorders>
              <w:top w:val="nil"/>
              <w:left w:val="nil"/>
              <w:bottom w:val="nil"/>
              <w:right w:val="nil"/>
            </w:tcBorders>
            <w:shd w:val="clear" w:color="auto" w:fill="auto"/>
            <w:noWrap/>
            <w:vAlign w:val="center"/>
            <w:hideMark/>
          </w:tcPr>
          <w:p w14:paraId="0D4F175D"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6,17</w:t>
            </w:r>
          </w:p>
        </w:tc>
      </w:tr>
      <w:tr w:rsidR="00A44321" w:rsidRPr="00A44321" w14:paraId="4A9EEC0E"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684F1EE8"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3E6193DB"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15 a 39 horas</w:t>
            </w:r>
          </w:p>
        </w:tc>
        <w:tc>
          <w:tcPr>
            <w:tcW w:w="1520" w:type="dxa"/>
            <w:tcBorders>
              <w:top w:val="nil"/>
              <w:left w:val="nil"/>
              <w:bottom w:val="nil"/>
              <w:right w:val="single" w:sz="4" w:space="0" w:color="auto"/>
            </w:tcBorders>
            <w:shd w:val="clear" w:color="000000" w:fill="D9D9D9"/>
            <w:noWrap/>
            <w:vAlign w:val="center"/>
            <w:hideMark/>
          </w:tcPr>
          <w:p w14:paraId="40720FC7"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11,69</w:t>
            </w:r>
          </w:p>
        </w:tc>
        <w:tc>
          <w:tcPr>
            <w:tcW w:w="1520" w:type="dxa"/>
            <w:tcBorders>
              <w:top w:val="nil"/>
              <w:left w:val="nil"/>
              <w:bottom w:val="nil"/>
              <w:right w:val="single" w:sz="4" w:space="0" w:color="auto"/>
            </w:tcBorders>
            <w:shd w:val="clear" w:color="000000" w:fill="D9D9D9"/>
            <w:noWrap/>
            <w:vAlign w:val="center"/>
            <w:hideMark/>
          </w:tcPr>
          <w:p w14:paraId="72D40940"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9,56</w:t>
            </w:r>
          </w:p>
        </w:tc>
        <w:tc>
          <w:tcPr>
            <w:tcW w:w="1520" w:type="dxa"/>
            <w:tcBorders>
              <w:top w:val="nil"/>
              <w:left w:val="nil"/>
              <w:bottom w:val="nil"/>
              <w:right w:val="single" w:sz="4" w:space="0" w:color="auto"/>
            </w:tcBorders>
            <w:shd w:val="clear" w:color="000000" w:fill="D9D9D9"/>
            <w:noWrap/>
            <w:vAlign w:val="center"/>
            <w:hideMark/>
          </w:tcPr>
          <w:p w14:paraId="4B73D2C9"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12,46</w:t>
            </w:r>
          </w:p>
        </w:tc>
        <w:tc>
          <w:tcPr>
            <w:tcW w:w="1520" w:type="dxa"/>
            <w:tcBorders>
              <w:top w:val="nil"/>
              <w:left w:val="nil"/>
              <w:bottom w:val="nil"/>
              <w:right w:val="nil"/>
            </w:tcBorders>
            <w:shd w:val="clear" w:color="000000" w:fill="D9D9D9"/>
            <w:noWrap/>
            <w:vAlign w:val="center"/>
            <w:hideMark/>
          </w:tcPr>
          <w:p w14:paraId="356A507F"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19,14</w:t>
            </w:r>
          </w:p>
        </w:tc>
      </w:tr>
      <w:tr w:rsidR="00A44321" w:rsidRPr="00A44321" w14:paraId="62CFCFFD"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4DD2BFB5"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29116ECD"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40 a 44 horas</w:t>
            </w:r>
          </w:p>
        </w:tc>
        <w:tc>
          <w:tcPr>
            <w:tcW w:w="1520" w:type="dxa"/>
            <w:tcBorders>
              <w:top w:val="nil"/>
              <w:left w:val="nil"/>
              <w:bottom w:val="nil"/>
              <w:right w:val="single" w:sz="4" w:space="0" w:color="auto"/>
            </w:tcBorders>
            <w:shd w:val="clear" w:color="000000" w:fill="D9D9D9"/>
            <w:noWrap/>
            <w:vAlign w:val="center"/>
            <w:hideMark/>
          </w:tcPr>
          <w:p w14:paraId="1CD4857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35,62</w:t>
            </w:r>
          </w:p>
        </w:tc>
        <w:tc>
          <w:tcPr>
            <w:tcW w:w="1520" w:type="dxa"/>
            <w:tcBorders>
              <w:top w:val="nil"/>
              <w:left w:val="nil"/>
              <w:bottom w:val="nil"/>
              <w:right w:val="single" w:sz="4" w:space="0" w:color="auto"/>
            </w:tcBorders>
            <w:shd w:val="clear" w:color="000000" w:fill="D9D9D9"/>
            <w:noWrap/>
            <w:vAlign w:val="center"/>
            <w:hideMark/>
          </w:tcPr>
          <w:p w14:paraId="2010FBA7"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8,77</w:t>
            </w:r>
          </w:p>
        </w:tc>
        <w:tc>
          <w:tcPr>
            <w:tcW w:w="1520" w:type="dxa"/>
            <w:tcBorders>
              <w:top w:val="nil"/>
              <w:left w:val="nil"/>
              <w:bottom w:val="nil"/>
              <w:right w:val="single" w:sz="4" w:space="0" w:color="auto"/>
            </w:tcBorders>
            <w:shd w:val="clear" w:color="000000" w:fill="D9D9D9"/>
            <w:noWrap/>
            <w:vAlign w:val="center"/>
            <w:hideMark/>
          </w:tcPr>
          <w:p w14:paraId="4692EBD7"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23,76</w:t>
            </w:r>
          </w:p>
        </w:tc>
        <w:tc>
          <w:tcPr>
            <w:tcW w:w="1520" w:type="dxa"/>
            <w:tcBorders>
              <w:top w:val="nil"/>
              <w:left w:val="nil"/>
              <w:bottom w:val="nil"/>
              <w:right w:val="nil"/>
            </w:tcBorders>
            <w:shd w:val="clear" w:color="000000" w:fill="D9D9D9"/>
            <w:noWrap/>
            <w:vAlign w:val="center"/>
            <w:hideMark/>
          </w:tcPr>
          <w:p w14:paraId="0D6E7D76"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10,85</w:t>
            </w:r>
          </w:p>
        </w:tc>
      </w:tr>
      <w:tr w:rsidR="00A44321" w:rsidRPr="00A44321" w14:paraId="0687E4DC"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596AF89F"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77D0D230"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45 a 48 horas</w:t>
            </w:r>
          </w:p>
        </w:tc>
        <w:tc>
          <w:tcPr>
            <w:tcW w:w="1520" w:type="dxa"/>
            <w:tcBorders>
              <w:top w:val="nil"/>
              <w:left w:val="nil"/>
              <w:bottom w:val="nil"/>
              <w:right w:val="single" w:sz="4" w:space="0" w:color="auto"/>
            </w:tcBorders>
            <w:shd w:val="clear" w:color="auto" w:fill="auto"/>
            <w:noWrap/>
            <w:vAlign w:val="center"/>
            <w:hideMark/>
          </w:tcPr>
          <w:p w14:paraId="211C60E5"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11,14</w:t>
            </w:r>
          </w:p>
        </w:tc>
        <w:tc>
          <w:tcPr>
            <w:tcW w:w="1520" w:type="dxa"/>
            <w:tcBorders>
              <w:top w:val="nil"/>
              <w:left w:val="nil"/>
              <w:bottom w:val="nil"/>
              <w:right w:val="single" w:sz="4" w:space="0" w:color="auto"/>
            </w:tcBorders>
            <w:shd w:val="clear" w:color="auto" w:fill="auto"/>
            <w:noWrap/>
            <w:vAlign w:val="center"/>
            <w:hideMark/>
          </w:tcPr>
          <w:p w14:paraId="58BDE26B"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3,51</w:t>
            </w:r>
          </w:p>
        </w:tc>
        <w:tc>
          <w:tcPr>
            <w:tcW w:w="1520" w:type="dxa"/>
            <w:tcBorders>
              <w:top w:val="nil"/>
              <w:left w:val="nil"/>
              <w:bottom w:val="nil"/>
              <w:right w:val="single" w:sz="4" w:space="0" w:color="auto"/>
            </w:tcBorders>
            <w:shd w:val="clear" w:color="auto" w:fill="auto"/>
            <w:noWrap/>
            <w:vAlign w:val="center"/>
            <w:hideMark/>
          </w:tcPr>
          <w:p w14:paraId="07A409AD"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8,47</w:t>
            </w:r>
          </w:p>
        </w:tc>
        <w:tc>
          <w:tcPr>
            <w:tcW w:w="1520" w:type="dxa"/>
            <w:tcBorders>
              <w:top w:val="nil"/>
              <w:left w:val="nil"/>
              <w:bottom w:val="nil"/>
              <w:right w:val="nil"/>
            </w:tcBorders>
            <w:shd w:val="clear" w:color="auto" w:fill="auto"/>
            <w:noWrap/>
            <w:vAlign w:val="center"/>
            <w:hideMark/>
          </w:tcPr>
          <w:p w14:paraId="3B13ED6B"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3,93</w:t>
            </w:r>
          </w:p>
        </w:tc>
      </w:tr>
      <w:tr w:rsidR="00A44321" w:rsidRPr="00A44321" w14:paraId="6D17F7C9" w14:textId="77777777" w:rsidTr="00A44321">
        <w:trPr>
          <w:trHeight w:val="600"/>
        </w:trPr>
        <w:tc>
          <w:tcPr>
            <w:tcW w:w="840" w:type="dxa"/>
            <w:vMerge/>
            <w:tcBorders>
              <w:top w:val="nil"/>
              <w:left w:val="nil"/>
              <w:bottom w:val="single" w:sz="4" w:space="0" w:color="auto"/>
              <w:right w:val="single" w:sz="4" w:space="0" w:color="auto"/>
            </w:tcBorders>
            <w:vAlign w:val="center"/>
            <w:hideMark/>
          </w:tcPr>
          <w:p w14:paraId="26638E3C"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single" w:sz="4" w:space="0" w:color="auto"/>
              <w:right w:val="single" w:sz="4" w:space="0" w:color="auto"/>
            </w:tcBorders>
            <w:shd w:val="clear" w:color="auto" w:fill="auto"/>
            <w:vAlign w:val="center"/>
            <w:hideMark/>
          </w:tcPr>
          <w:p w14:paraId="5454641E"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49 horas ou mais</w:t>
            </w:r>
          </w:p>
        </w:tc>
        <w:tc>
          <w:tcPr>
            <w:tcW w:w="1520" w:type="dxa"/>
            <w:tcBorders>
              <w:top w:val="nil"/>
              <w:left w:val="nil"/>
              <w:bottom w:val="single" w:sz="4" w:space="0" w:color="auto"/>
              <w:right w:val="single" w:sz="4" w:space="0" w:color="auto"/>
            </w:tcBorders>
            <w:shd w:val="clear" w:color="auto" w:fill="auto"/>
            <w:noWrap/>
            <w:vAlign w:val="center"/>
            <w:hideMark/>
          </w:tcPr>
          <w:p w14:paraId="4491C850"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7,43</w:t>
            </w:r>
          </w:p>
        </w:tc>
        <w:tc>
          <w:tcPr>
            <w:tcW w:w="1520" w:type="dxa"/>
            <w:tcBorders>
              <w:top w:val="nil"/>
              <w:left w:val="nil"/>
              <w:bottom w:val="single" w:sz="4" w:space="0" w:color="auto"/>
              <w:right w:val="single" w:sz="4" w:space="0" w:color="auto"/>
            </w:tcBorders>
            <w:shd w:val="clear" w:color="auto" w:fill="auto"/>
            <w:noWrap/>
            <w:vAlign w:val="center"/>
            <w:hideMark/>
          </w:tcPr>
          <w:p w14:paraId="27BE70BE"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6,41</w:t>
            </w:r>
          </w:p>
        </w:tc>
        <w:tc>
          <w:tcPr>
            <w:tcW w:w="1520" w:type="dxa"/>
            <w:tcBorders>
              <w:top w:val="nil"/>
              <w:left w:val="nil"/>
              <w:bottom w:val="single" w:sz="4" w:space="0" w:color="auto"/>
              <w:right w:val="single" w:sz="4" w:space="0" w:color="auto"/>
            </w:tcBorders>
            <w:shd w:val="clear" w:color="auto" w:fill="auto"/>
            <w:noWrap/>
            <w:vAlign w:val="center"/>
            <w:hideMark/>
          </w:tcPr>
          <w:p w14:paraId="4FF7EE0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7,05</w:t>
            </w:r>
          </w:p>
        </w:tc>
        <w:tc>
          <w:tcPr>
            <w:tcW w:w="1520" w:type="dxa"/>
            <w:tcBorders>
              <w:top w:val="nil"/>
              <w:left w:val="nil"/>
              <w:bottom w:val="single" w:sz="4" w:space="0" w:color="auto"/>
              <w:right w:val="nil"/>
            </w:tcBorders>
            <w:shd w:val="clear" w:color="auto" w:fill="auto"/>
            <w:noWrap/>
            <w:vAlign w:val="center"/>
            <w:hideMark/>
          </w:tcPr>
          <w:p w14:paraId="75738DE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6,21</w:t>
            </w:r>
          </w:p>
        </w:tc>
      </w:tr>
      <w:tr w:rsidR="00A44321" w:rsidRPr="00A44321" w14:paraId="0765E5EC" w14:textId="77777777" w:rsidTr="00A44321">
        <w:trPr>
          <w:trHeight w:val="300"/>
        </w:trPr>
        <w:tc>
          <w:tcPr>
            <w:tcW w:w="840" w:type="dxa"/>
            <w:vMerge w:val="restart"/>
            <w:tcBorders>
              <w:top w:val="nil"/>
              <w:left w:val="nil"/>
              <w:bottom w:val="single" w:sz="4" w:space="0" w:color="auto"/>
              <w:right w:val="single" w:sz="4" w:space="0" w:color="auto"/>
            </w:tcBorders>
            <w:shd w:val="clear" w:color="auto" w:fill="auto"/>
            <w:noWrap/>
            <w:vAlign w:val="center"/>
            <w:hideMark/>
          </w:tcPr>
          <w:p w14:paraId="4B89D99F" w14:textId="77777777" w:rsidR="00A44321" w:rsidRPr="00A44321" w:rsidRDefault="00A44321" w:rsidP="00A44321">
            <w:pPr>
              <w:suppressAutoHyphens w:val="0"/>
              <w:jc w:val="center"/>
              <w:rPr>
                <w:b/>
                <w:bCs/>
                <w:color w:val="000000"/>
                <w:sz w:val="20"/>
                <w:szCs w:val="20"/>
                <w:lang w:eastAsia="pt-BR"/>
              </w:rPr>
            </w:pPr>
            <w:r w:rsidRPr="00A44321">
              <w:rPr>
                <w:b/>
                <w:bCs/>
                <w:color w:val="000000"/>
                <w:sz w:val="20"/>
                <w:szCs w:val="20"/>
                <w:lang w:eastAsia="pt-BR"/>
              </w:rPr>
              <w:t>2014</w:t>
            </w:r>
          </w:p>
        </w:tc>
        <w:tc>
          <w:tcPr>
            <w:tcW w:w="1400" w:type="dxa"/>
            <w:tcBorders>
              <w:top w:val="nil"/>
              <w:left w:val="nil"/>
              <w:bottom w:val="nil"/>
              <w:right w:val="single" w:sz="4" w:space="0" w:color="auto"/>
            </w:tcBorders>
            <w:shd w:val="clear" w:color="auto" w:fill="auto"/>
            <w:vAlign w:val="center"/>
            <w:hideMark/>
          </w:tcPr>
          <w:p w14:paraId="026E8F7E"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Até 14 horas</w:t>
            </w:r>
          </w:p>
        </w:tc>
        <w:tc>
          <w:tcPr>
            <w:tcW w:w="1520" w:type="dxa"/>
            <w:tcBorders>
              <w:top w:val="nil"/>
              <w:left w:val="nil"/>
              <w:bottom w:val="nil"/>
              <w:right w:val="single" w:sz="4" w:space="0" w:color="auto"/>
            </w:tcBorders>
            <w:shd w:val="clear" w:color="auto" w:fill="auto"/>
            <w:noWrap/>
            <w:vAlign w:val="center"/>
            <w:hideMark/>
          </w:tcPr>
          <w:p w14:paraId="6683895F"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2,08</w:t>
            </w:r>
          </w:p>
        </w:tc>
        <w:tc>
          <w:tcPr>
            <w:tcW w:w="1520" w:type="dxa"/>
            <w:tcBorders>
              <w:top w:val="nil"/>
              <w:left w:val="nil"/>
              <w:bottom w:val="nil"/>
              <w:right w:val="single" w:sz="4" w:space="0" w:color="auto"/>
            </w:tcBorders>
            <w:shd w:val="clear" w:color="auto" w:fill="auto"/>
            <w:noWrap/>
            <w:vAlign w:val="center"/>
            <w:hideMark/>
          </w:tcPr>
          <w:p w14:paraId="5F39EEFC"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4,31</w:t>
            </w:r>
          </w:p>
        </w:tc>
        <w:tc>
          <w:tcPr>
            <w:tcW w:w="1520" w:type="dxa"/>
            <w:tcBorders>
              <w:top w:val="nil"/>
              <w:left w:val="nil"/>
              <w:bottom w:val="nil"/>
              <w:right w:val="single" w:sz="4" w:space="0" w:color="auto"/>
            </w:tcBorders>
            <w:shd w:val="clear" w:color="auto" w:fill="auto"/>
            <w:noWrap/>
            <w:vAlign w:val="center"/>
            <w:hideMark/>
          </w:tcPr>
          <w:p w14:paraId="4C92127C"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1,5</w:t>
            </w:r>
          </w:p>
        </w:tc>
        <w:tc>
          <w:tcPr>
            <w:tcW w:w="1520" w:type="dxa"/>
            <w:tcBorders>
              <w:top w:val="nil"/>
              <w:left w:val="nil"/>
              <w:bottom w:val="nil"/>
              <w:right w:val="nil"/>
            </w:tcBorders>
            <w:shd w:val="clear" w:color="auto" w:fill="auto"/>
            <w:noWrap/>
            <w:vAlign w:val="center"/>
            <w:hideMark/>
          </w:tcPr>
          <w:p w14:paraId="1ADC1031"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6,54</w:t>
            </w:r>
          </w:p>
        </w:tc>
      </w:tr>
      <w:tr w:rsidR="00A44321" w:rsidRPr="00A44321" w14:paraId="015B8FC7"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6B323219"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7FB8DF17"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15 a 39 horas</w:t>
            </w:r>
          </w:p>
        </w:tc>
        <w:tc>
          <w:tcPr>
            <w:tcW w:w="1520" w:type="dxa"/>
            <w:tcBorders>
              <w:top w:val="nil"/>
              <w:left w:val="nil"/>
              <w:bottom w:val="nil"/>
              <w:right w:val="single" w:sz="4" w:space="0" w:color="auto"/>
            </w:tcBorders>
            <w:shd w:val="clear" w:color="000000" w:fill="D9D9D9"/>
            <w:noWrap/>
            <w:vAlign w:val="center"/>
            <w:hideMark/>
          </w:tcPr>
          <w:p w14:paraId="725378DA"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12,5</w:t>
            </w:r>
          </w:p>
        </w:tc>
        <w:tc>
          <w:tcPr>
            <w:tcW w:w="1520" w:type="dxa"/>
            <w:tcBorders>
              <w:top w:val="nil"/>
              <w:left w:val="nil"/>
              <w:bottom w:val="nil"/>
              <w:right w:val="single" w:sz="4" w:space="0" w:color="auto"/>
            </w:tcBorders>
            <w:shd w:val="clear" w:color="000000" w:fill="D9D9D9"/>
            <w:noWrap/>
            <w:vAlign w:val="center"/>
            <w:hideMark/>
          </w:tcPr>
          <w:p w14:paraId="07503B02"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9,76</w:t>
            </w:r>
          </w:p>
        </w:tc>
        <w:tc>
          <w:tcPr>
            <w:tcW w:w="1520" w:type="dxa"/>
            <w:tcBorders>
              <w:top w:val="nil"/>
              <w:left w:val="nil"/>
              <w:bottom w:val="nil"/>
              <w:right w:val="single" w:sz="4" w:space="0" w:color="auto"/>
            </w:tcBorders>
            <w:shd w:val="clear" w:color="000000" w:fill="D9D9D9"/>
            <w:noWrap/>
            <w:vAlign w:val="center"/>
            <w:hideMark/>
          </w:tcPr>
          <w:p w14:paraId="2BF4804A"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12,92</w:t>
            </w:r>
          </w:p>
        </w:tc>
        <w:tc>
          <w:tcPr>
            <w:tcW w:w="1520" w:type="dxa"/>
            <w:tcBorders>
              <w:top w:val="nil"/>
              <w:left w:val="nil"/>
              <w:bottom w:val="nil"/>
              <w:right w:val="nil"/>
            </w:tcBorders>
            <w:shd w:val="clear" w:color="000000" w:fill="D9D9D9"/>
            <w:noWrap/>
            <w:vAlign w:val="center"/>
            <w:hideMark/>
          </w:tcPr>
          <w:p w14:paraId="5DEA5213"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17,73</w:t>
            </w:r>
          </w:p>
        </w:tc>
      </w:tr>
      <w:tr w:rsidR="00A44321" w:rsidRPr="00A44321" w14:paraId="2911F58C"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30A775D9"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2360D449"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40 a 44 horas</w:t>
            </w:r>
          </w:p>
        </w:tc>
        <w:tc>
          <w:tcPr>
            <w:tcW w:w="1520" w:type="dxa"/>
            <w:tcBorders>
              <w:top w:val="nil"/>
              <w:left w:val="nil"/>
              <w:bottom w:val="nil"/>
              <w:right w:val="single" w:sz="4" w:space="0" w:color="auto"/>
            </w:tcBorders>
            <w:shd w:val="clear" w:color="000000" w:fill="D9D9D9"/>
            <w:noWrap/>
            <w:vAlign w:val="center"/>
            <w:hideMark/>
          </w:tcPr>
          <w:p w14:paraId="54BCBA50"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37,43</w:t>
            </w:r>
          </w:p>
        </w:tc>
        <w:tc>
          <w:tcPr>
            <w:tcW w:w="1520" w:type="dxa"/>
            <w:tcBorders>
              <w:top w:val="nil"/>
              <w:left w:val="nil"/>
              <w:bottom w:val="nil"/>
              <w:right w:val="single" w:sz="4" w:space="0" w:color="auto"/>
            </w:tcBorders>
            <w:shd w:val="clear" w:color="000000" w:fill="D9D9D9"/>
            <w:noWrap/>
            <w:vAlign w:val="center"/>
            <w:hideMark/>
          </w:tcPr>
          <w:p w14:paraId="674483B0"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9,51</w:t>
            </w:r>
          </w:p>
        </w:tc>
        <w:tc>
          <w:tcPr>
            <w:tcW w:w="1520" w:type="dxa"/>
            <w:tcBorders>
              <w:top w:val="nil"/>
              <w:left w:val="nil"/>
              <w:bottom w:val="nil"/>
              <w:right w:val="single" w:sz="4" w:space="0" w:color="auto"/>
            </w:tcBorders>
            <w:shd w:val="clear" w:color="000000" w:fill="D9D9D9"/>
            <w:noWrap/>
            <w:vAlign w:val="center"/>
            <w:hideMark/>
          </w:tcPr>
          <w:p w14:paraId="4A7CD965"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25,8</w:t>
            </w:r>
          </w:p>
        </w:tc>
        <w:tc>
          <w:tcPr>
            <w:tcW w:w="1520" w:type="dxa"/>
            <w:tcBorders>
              <w:top w:val="nil"/>
              <w:left w:val="nil"/>
              <w:bottom w:val="nil"/>
              <w:right w:val="nil"/>
            </w:tcBorders>
            <w:shd w:val="clear" w:color="000000" w:fill="D9D9D9"/>
            <w:noWrap/>
            <w:vAlign w:val="center"/>
            <w:hideMark/>
          </w:tcPr>
          <w:p w14:paraId="32ACC51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11,34</w:t>
            </w:r>
          </w:p>
        </w:tc>
      </w:tr>
      <w:tr w:rsidR="00A44321" w:rsidRPr="00A44321" w14:paraId="21904885" w14:textId="77777777" w:rsidTr="00A44321">
        <w:trPr>
          <w:trHeight w:val="300"/>
        </w:trPr>
        <w:tc>
          <w:tcPr>
            <w:tcW w:w="840" w:type="dxa"/>
            <w:vMerge/>
            <w:tcBorders>
              <w:top w:val="nil"/>
              <w:left w:val="nil"/>
              <w:bottom w:val="single" w:sz="4" w:space="0" w:color="auto"/>
              <w:right w:val="single" w:sz="4" w:space="0" w:color="auto"/>
            </w:tcBorders>
            <w:vAlign w:val="center"/>
            <w:hideMark/>
          </w:tcPr>
          <w:p w14:paraId="3105CECE"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nil"/>
              <w:right w:val="single" w:sz="4" w:space="0" w:color="auto"/>
            </w:tcBorders>
            <w:shd w:val="clear" w:color="auto" w:fill="auto"/>
            <w:vAlign w:val="center"/>
            <w:hideMark/>
          </w:tcPr>
          <w:p w14:paraId="46DB9199"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45 a 48 horas</w:t>
            </w:r>
          </w:p>
        </w:tc>
        <w:tc>
          <w:tcPr>
            <w:tcW w:w="1520" w:type="dxa"/>
            <w:tcBorders>
              <w:top w:val="nil"/>
              <w:left w:val="nil"/>
              <w:bottom w:val="nil"/>
              <w:right w:val="single" w:sz="4" w:space="0" w:color="auto"/>
            </w:tcBorders>
            <w:shd w:val="clear" w:color="auto" w:fill="auto"/>
            <w:noWrap/>
            <w:vAlign w:val="center"/>
            <w:hideMark/>
          </w:tcPr>
          <w:p w14:paraId="706D6F79"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9,62</w:t>
            </w:r>
          </w:p>
        </w:tc>
        <w:tc>
          <w:tcPr>
            <w:tcW w:w="1520" w:type="dxa"/>
            <w:tcBorders>
              <w:top w:val="nil"/>
              <w:left w:val="nil"/>
              <w:bottom w:val="nil"/>
              <w:right w:val="single" w:sz="4" w:space="0" w:color="auto"/>
            </w:tcBorders>
            <w:shd w:val="clear" w:color="auto" w:fill="auto"/>
            <w:noWrap/>
            <w:vAlign w:val="center"/>
            <w:hideMark/>
          </w:tcPr>
          <w:p w14:paraId="315A6D71"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3,11</w:t>
            </w:r>
          </w:p>
        </w:tc>
        <w:tc>
          <w:tcPr>
            <w:tcW w:w="1520" w:type="dxa"/>
            <w:tcBorders>
              <w:top w:val="nil"/>
              <w:left w:val="nil"/>
              <w:bottom w:val="nil"/>
              <w:right w:val="single" w:sz="4" w:space="0" w:color="auto"/>
            </w:tcBorders>
            <w:shd w:val="clear" w:color="auto" w:fill="auto"/>
            <w:noWrap/>
            <w:vAlign w:val="center"/>
            <w:hideMark/>
          </w:tcPr>
          <w:p w14:paraId="752564E2"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8,53</w:t>
            </w:r>
          </w:p>
        </w:tc>
        <w:tc>
          <w:tcPr>
            <w:tcW w:w="1520" w:type="dxa"/>
            <w:tcBorders>
              <w:top w:val="nil"/>
              <w:left w:val="nil"/>
              <w:bottom w:val="nil"/>
              <w:right w:val="nil"/>
            </w:tcBorders>
            <w:shd w:val="clear" w:color="auto" w:fill="auto"/>
            <w:noWrap/>
            <w:vAlign w:val="center"/>
            <w:hideMark/>
          </w:tcPr>
          <w:p w14:paraId="369C3454"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4,4</w:t>
            </w:r>
          </w:p>
        </w:tc>
      </w:tr>
      <w:tr w:rsidR="00A44321" w:rsidRPr="00A44321" w14:paraId="1514EC52" w14:textId="77777777" w:rsidTr="00A44321">
        <w:trPr>
          <w:trHeight w:val="600"/>
        </w:trPr>
        <w:tc>
          <w:tcPr>
            <w:tcW w:w="840" w:type="dxa"/>
            <w:vMerge/>
            <w:tcBorders>
              <w:top w:val="nil"/>
              <w:left w:val="nil"/>
              <w:bottom w:val="single" w:sz="4" w:space="0" w:color="auto"/>
              <w:right w:val="single" w:sz="4" w:space="0" w:color="auto"/>
            </w:tcBorders>
            <w:vAlign w:val="center"/>
            <w:hideMark/>
          </w:tcPr>
          <w:p w14:paraId="373ACD2A" w14:textId="77777777" w:rsidR="00A44321" w:rsidRPr="00A44321" w:rsidRDefault="00A44321" w:rsidP="00A44321">
            <w:pPr>
              <w:suppressAutoHyphens w:val="0"/>
              <w:rPr>
                <w:b/>
                <w:bCs/>
                <w:color w:val="000000"/>
                <w:sz w:val="20"/>
                <w:szCs w:val="20"/>
                <w:lang w:eastAsia="pt-BR"/>
              </w:rPr>
            </w:pPr>
          </w:p>
        </w:tc>
        <w:tc>
          <w:tcPr>
            <w:tcW w:w="1400" w:type="dxa"/>
            <w:tcBorders>
              <w:top w:val="nil"/>
              <w:left w:val="nil"/>
              <w:bottom w:val="single" w:sz="4" w:space="0" w:color="auto"/>
              <w:right w:val="single" w:sz="4" w:space="0" w:color="auto"/>
            </w:tcBorders>
            <w:shd w:val="clear" w:color="auto" w:fill="auto"/>
            <w:vAlign w:val="center"/>
            <w:hideMark/>
          </w:tcPr>
          <w:p w14:paraId="65DD9C99" w14:textId="77777777" w:rsidR="00A44321" w:rsidRPr="00A44321" w:rsidRDefault="00A44321" w:rsidP="00A44321">
            <w:pPr>
              <w:suppressAutoHyphens w:val="0"/>
              <w:rPr>
                <w:color w:val="000000"/>
                <w:sz w:val="20"/>
                <w:szCs w:val="20"/>
                <w:lang w:eastAsia="pt-BR"/>
              </w:rPr>
            </w:pPr>
            <w:r w:rsidRPr="00A44321">
              <w:rPr>
                <w:color w:val="000000"/>
                <w:sz w:val="20"/>
                <w:szCs w:val="20"/>
                <w:lang w:eastAsia="pt-BR"/>
              </w:rPr>
              <w:t>49 horas ou mais</w:t>
            </w:r>
          </w:p>
        </w:tc>
        <w:tc>
          <w:tcPr>
            <w:tcW w:w="1520" w:type="dxa"/>
            <w:tcBorders>
              <w:top w:val="nil"/>
              <w:left w:val="nil"/>
              <w:bottom w:val="single" w:sz="4" w:space="0" w:color="auto"/>
              <w:right w:val="single" w:sz="4" w:space="0" w:color="auto"/>
            </w:tcBorders>
            <w:shd w:val="clear" w:color="auto" w:fill="auto"/>
            <w:noWrap/>
            <w:vAlign w:val="center"/>
            <w:hideMark/>
          </w:tcPr>
          <w:p w14:paraId="01CD7958"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5,89</w:t>
            </w:r>
          </w:p>
        </w:tc>
        <w:tc>
          <w:tcPr>
            <w:tcW w:w="1520" w:type="dxa"/>
            <w:tcBorders>
              <w:top w:val="nil"/>
              <w:left w:val="nil"/>
              <w:bottom w:val="single" w:sz="4" w:space="0" w:color="auto"/>
              <w:right w:val="single" w:sz="4" w:space="0" w:color="auto"/>
            </w:tcBorders>
            <w:shd w:val="clear" w:color="auto" w:fill="auto"/>
            <w:noWrap/>
            <w:vAlign w:val="center"/>
            <w:hideMark/>
          </w:tcPr>
          <w:p w14:paraId="42B4DDB1"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5,81</w:t>
            </w:r>
          </w:p>
        </w:tc>
        <w:tc>
          <w:tcPr>
            <w:tcW w:w="1520" w:type="dxa"/>
            <w:tcBorders>
              <w:top w:val="nil"/>
              <w:left w:val="nil"/>
              <w:bottom w:val="single" w:sz="4" w:space="0" w:color="auto"/>
              <w:right w:val="single" w:sz="4" w:space="0" w:color="auto"/>
            </w:tcBorders>
            <w:shd w:val="clear" w:color="auto" w:fill="auto"/>
            <w:noWrap/>
            <w:vAlign w:val="center"/>
            <w:hideMark/>
          </w:tcPr>
          <w:p w14:paraId="2FA99609"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5,63</w:t>
            </w:r>
          </w:p>
        </w:tc>
        <w:tc>
          <w:tcPr>
            <w:tcW w:w="1520" w:type="dxa"/>
            <w:tcBorders>
              <w:top w:val="nil"/>
              <w:left w:val="nil"/>
              <w:bottom w:val="single" w:sz="4" w:space="0" w:color="auto"/>
              <w:right w:val="nil"/>
            </w:tcBorders>
            <w:shd w:val="clear" w:color="auto" w:fill="auto"/>
            <w:noWrap/>
            <w:vAlign w:val="center"/>
            <w:hideMark/>
          </w:tcPr>
          <w:p w14:paraId="17EDB3BC" w14:textId="77777777" w:rsidR="00A44321" w:rsidRPr="00A44321" w:rsidRDefault="00A44321" w:rsidP="00A44321">
            <w:pPr>
              <w:suppressAutoHyphens w:val="0"/>
              <w:jc w:val="center"/>
              <w:rPr>
                <w:color w:val="000000"/>
                <w:sz w:val="20"/>
                <w:szCs w:val="20"/>
                <w:lang w:eastAsia="pt-BR"/>
              </w:rPr>
            </w:pPr>
            <w:r w:rsidRPr="00A44321">
              <w:rPr>
                <w:color w:val="000000"/>
                <w:sz w:val="20"/>
                <w:szCs w:val="20"/>
                <w:lang w:eastAsia="pt-BR"/>
              </w:rPr>
              <w:t>5,6</w:t>
            </w:r>
          </w:p>
        </w:tc>
      </w:tr>
    </w:tbl>
    <w:p w14:paraId="00163566" w14:textId="77777777" w:rsidR="00525CB9" w:rsidRPr="000A4A0C" w:rsidRDefault="00525CB9" w:rsidP="00525CB9">
      <w:pPr>
        <w:jc w:val="both"/>
        <w:rPr>
          <w:sz w:val="20"/>
          <w:szCs w:val="20"/>
        </w:rPr>
      </w:pPr>
      <w:r>
        <w:rPr>
          <w:sz w:val="20"/>
          <w:szCs w:val="20"/>
        </w:rPr>
        <w:t>Fonte: Elaborado pelas autoras a partir de dados da PNAD/SIDRA-IBGE.</w:t>
      </w:r>
    </w:p>
    <w:p w14:paraId="18A162EA" w14:textId="77431C26" w:rsidR="007F23E9" w:rsidRDefault="00525CB9" w:rsidP="00A44321">
      <w:pPr>
        <w:jc w:val="both"/>
        <w:rPr>
          <w:sz w:val="20"/>
          <w:szCs w:val="20"/>
        </w:rPr>
      </w:pPr>
      <w:r>
        <w:rPr>
          <w:sz w:val="20"/>
          <w:szCs w:val="20"/>
        </w:rPr>
        <w:t>* Empregados e</w:t>
      </w:r>
      <w:r w:rsidR="007F23E9">
        <w:rPr>
          <w:sz w:val="20"/>
          <w:szCs w:val="20"/>
        </w:rPr>
        <w:t xml:space="preserve"> trabalhadores domésticos. ** </w:t>
      </w:r>
      <w:r>
        <w:rPr>
          <w:sz w:val="20"/>
          <w:szCs w:val="20"/>
        </w:rPr>
        <w:t>Empregadores, t</w:t>
      </w:r>
      <w:r w:rsidR="007F23E9">
        <w:rPr>
          <w:sz w:val="20"/>
          <w:szCs w:val="20"/>
        </w:rPr>
        <w:t>rabalhadores por conta-</w:t>
      </w:r>
      <w:proofErr w:type="gramStart"/>
      <w:r w:rsidR="007F23E9">
        <w:rPr>
          <w:sz w:val="20"/>
          <w:szCs w:val="20"/>
        </w:rPr>
        <w:t>própria, não</w:t>
      </w:r>
      <w:r>
        <w:rPr>
          <w:sz w:val="20"/>
          <w:szCs w:val="20"/>
        </w:rPr>
        <w:t xml:space="preserve"> </w:t>
      </w:r>
      <w:r w:rsidR="007F23E9">
        <w:rPr>
          <w:sz w:val="20"/>
          <w:szCs w:val="20"/>
        </w:rPr>
        <w:t>remunerados</w:t>
      </w:r>
      <w:proofErr w:type="gramEnd"/>
      <w:r w:rsidR="007F23E9">
        <w:rPr>
          <w:sz w:val="20"/>
          <w:szCs w:val="20"/>
        </w:rPr>
        <w:t>, trabalhadores na construção para o próprio uso e trabalhadores na produção para próprio consumo.</w:t>
      </w:r>
    </w:p>
    <w:p w14:paraId="025C7351" w14:textId="77777777" w:rsidR="007F23E9" w:rsidRDefault="007F23E9" w:rsidP="00803C68">
      <w:pPr>
        <w:spacing w:line="360" w:lineRule="auto"/>
        <w:ind w:firstLine="708"/>
        <w:jc w:val="both"/>
        <w:rPr>
          <w:sz w:val="20"/>
          <w:szCs w:val="20"/>
        </w:rPr>
      </w:pPr>
    </w:p>
    <w:p w14:paraId="22442325" w14:textId="77777777" w:rsidR="003C7CB8" w:rsidRDefault="003C7CB8" w:rsidP="00803C68">
      <w:pPr>
        <w:tabs>
          <w:tab w:val="left" w:pos="1035"/>
        </w:tabs>
        <w:spacing w:line="360" w:lineRule="auto"/>
        <w:ind w:firstLine="709"/>
        <w:jc w:val="both"/>
      </w:pPr>
      <w:r>
        <w:t xml:space="preserve">Apesar de ter havido o aumento de assalariados e não assalariados que realizam jornada de trabalho semanal legalmente instituída, tal distribuição por horas trabalhadas nos dois mercados de trabalho indica um possível crescimento de trabalhadores em tempo de trabalho parcial, dado o incremento de ambos os segmentos na faixa de 15 a 39 horas, permitindo considerar a hipótese de que a formalização do mercado de trabalho tem se dado com elementos de flexibilidade. </w:t>
      </w:r>
    </w:p>
    <w:p w14:paraId="389DCD52" w14:textId="77777777" w:rsidR="00D446F0" w:rsidRDefault="00D446F0" w:rsidP="00803C68">
      <w:pPr>
        <w:tabs>
          <w:tab w:val="left" w:pos="1035"/>
        </w:tabs>
        <w:spacing w:line="360" w:lineRule="auto"/>
        <w:ind w:firstLine="709"/>
        <w:jc w:val="both"/>
      </w:pPr>
    </w:p>
    <w:p w14:paraId="0D1745D8" w14:textId="114126E4" w:rsidR="003F3DD4" w:rsidRPr="00D446F0" w:rsidRDefault="00C73EC3" w:rsidP="00803C68">
      <w:pPr>
        <w:pStyle w:val="PargrafodaLista"/>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0"/>
        <w:jc w:val="both"/>
        <w:rPr>
          <w:b/>
          <w:sz w:val="24"/>
          <w:szCs w:val="24"/>
        </w:rPr>
      </w:pPr>
      <w:r w:rsidRPr="00D446F0">
        <w:rPr>
          <w:b/>
          <w:sz w:val="24"/>
          <w:szCs w:val="24"/>
        </w:rPr>
        <w:t>CON</w:t>
      </w:r>
      <w:r w:rsidR="00293C65">
        <w:rPr>
          <w:b/>
          <w:sz w:val="24"/>
          <w:szCs w:val="24"/>
        </w:rPr>
        <w:t>SIDERAÇÕES FINAIS</w:t>
      </w:r>
    </w:p>
    <w:p w14:paraId="6F63F2FB" w14:textId="77777777" w:rsidR="00360AEE" w:rsidRDefault="00360AEE" w:rsidP="00803C68">
      <w:pPr>
        <w:pStyle w:val="NormalWeb"/>
        <w:spacing w:before="0" w:after="0" w:line="360" w:lineRule="auto"/>
        <w:ind w:firstLine="709"/>
        <w:jc w:val="both"/>
        <w:rPr>
          <w:color w:val="auto"/>
        </w:rPr>
      </w:pPr>
      <w:r w:rsidRPr="00543DA9">
        <w:t xml:space="preserve">Inicialmente, </w:t>
      </w:r>
      <w:r>
        <w:t>realizamos a crítica</w:t>
      </w:r>
      <w:r w:rsidRPr="00543DA9">
        <w:t xml:space="preserve"> da</w:t>
      </w:r>
      <w:r>
        <w:t xml:space="preserve"> </w:t>
      </w:r>
      <w:r w:rsidRPr="00543DA9">
        <w:t xml:space="preserve">categorização teórica que </w:t>
      </w:r>
      <w:r>
        <w:t xml:space="preserve">estabelece uma relação de dualidade entre trabalho “formal” </w:t>
      </w:r>
      <w:r w:rsidRPr="00543DA9">
        <w:t>e trabalho “informal”</w:t>
      </w:r>
      <w:r>
        <w:t xml:space="preserve"> ao entendermos que esta</w:t>
      </w:r>
      <w:r w:rsidRPr="00543DA9">
        <w:t xml:space="preserve"> ignora o aspecto funcional e de integração do “atrasado” no “moderno”, da “informalidade” na “formalidade” e, nesse sentido, </w:t>
      </w:r>
      <w:r>
        <w:t>acaba se tornando</w:t>
      </w:r>
      <w:r w:rsidRPr="00543DA9">
        <w:t xml:space="preserve"> insuficiente para o tratamento da problemática do desemprego no capitalismo e o consequente desenvolvimento da “informalidade” </w:t>
      </w:r>
      <w:r>
        <w:t>do</w:t>
      </w:r>
      <w:r w:rsidRPr="00543DA9">
        <w:t xml:space="preserve"> trabalho</w:t>
      </w:r>
      <w:r>
        <w:t xml:space="preserve"> neste sistema econômico</w:t>
      </w:r>
      <w:r w:rsidRPr="00543DA9">
        <w:t xml:space="preserve">. </w:t>
      </w:r>
      <w:r>
        <w:t>Portanto</w:t>
      </w:r>
      <w:r w:rsidRPr="00543DA9">
        <w:t xml:space="preserve">, entendemos que o trabalho também se expressa como uma unidade dialética </w:t>
      </w:r>
      <w:r>
        <w:t xml:space="preserve">entre </w:t>
      </w:r>
      <w:r>
        <w:lastRenderedPageBreak/>
        <w:t>“formal” e “informal” e que</w:t>
      </w:r>
      <w:r w:rsidRPr="00543DA9">
        <w:t xml:space="preserve"> </w:t>
      </w:r>
      <w:r>
        <w:t>o</w:t>
      </w:r>
      <w:r w:rsidRPr="00EE1ABA">
        <w:rPr>
          <w:color w:val="auto"/>
        </w:rPr>
        <w:t xml:space="preserve">s desenvolvimentos alcançados pela acumulação capitalista nos últimos quarenta anos tornou mais complexa essa relação contraditória entre “formalidade” e “informalidade”, sobretudo, porque teria provocado </w:t>
      </w:r>
      <w:proofErr w:type="gramStart"/>
      <w:r w:rsidRPr="00EE1ABA">
        <w:rPr>
          <w:color w:val="auto"/>
        </w:rPr>
        <w:t>a</w:t>
      </w:r>
      <w:proofErr w:type="gramEnd"/>
      <w:r w:rsidRPr="00EE1ABA">
        <w:rPr>
          <w:color w:val="auto"/>
        </w:rPr>
        <w:t xml:space="preserve"> emergência de uma nova “informalidade”.</w:t>
      </w:r>
    </w:p>
    <w:p w14:paraId="686D7E05" w14:textId="77777777" w:rsidR="00360AEE" w:rsidRDefault="00360AEE" w:rsidP="00803C68">
      <w:pPr>
        <w:pStyle w:val="NormalWeb"/>
        <w:spacing w:before="0" w:after="0" w:line="360" w:lineRule="auto"/>
        <w:ind w:firstLine="709"/>
        <w:jc w:val="both"/>
      </w:pPr>
      <w:r>
        <w:rPr>
          <w:color w:val="auto"/>
        </w:rPr>
        <w:t xml:space="preserve">Discutimos, em seguida, </w:t>
      </w:r>
      <w:r w:rsidRPr="00543DA9">
        <w:t>que</w:t>
      </w:r>
      <w:r>
        <w:t xml:space="preserve"> o </w:t>
      </w:r>
      <w:r w:rsidRPr="00543DA9">
        <w:t>trabalho “informal” surge como um desdobramento da acumulação capitalista, uma vez que o progresso no capitalismo é poupa</w:t>
      </w:r>
      <w:r>
        <w:t>dor de mão de obra, conduzindo à</w:t>
      </w:r>
      <w:r w:rsidRPr="00543DA9">
        <w:t xml:space="preserve"> crescente superpopulação relativa a concorrer por ocupações</w:t>
      </w:r>
      <w:r>
        <w:t xml:space="preserve"> à margem do capital, em sua maioria, com baixa remuneração</w:t>
      </w:r>
      <w:r w:rsidRPr="00543DA9">
        <w:t>, longas jornadas de trabalho e</w:t>
      </w:r>
      <w:r>
        <w:t xml:space="preserve"> outros aspectos que as caracterizam como ocupações </w:t>
      </w:r>
      <w:proofErr w:type="spellStart"/>
      <w:r>
        <w:t>precarizadas</w:t>
      </w:r>
      <w:proofErr w:type="spellEnd"/>
      <w:r>
        <w:t xml:space="preserve"> que</w:t>
      </w:r>
      <w:r w:rsidRPr="00543DA9">
        <w:t xml:space="preserve"> permit</w:t>
      </w:r>
      <w:r>
        <w:t>em</w:t>
      </w:r>
      <w:r w:rsidRPr="00543DA9">
        <w:t xml:space="preserve"> a elevação da exploração do trabalho no processo de produção capitalista. Assim, o trabalho “informal” se expressa, ao mesmo tempo, como </w:t>
      </w:r>
      <w:proofErr w:type="spellStart"/>
      <w:r w:rsidRPr="00543DA9">
        <w:t>contratendência</w:t>
      </w:r>
      <w:proofErr w:type="spellEnd"/>
      <w:r w:rsidRPr="00543DA9">
        <w:t xml:space="preserve"> à queda tendencial da taxa de luc</w:t>
      </w:r>
      <w:r>
        <w:t>ro, já que permite a elevação do</w:t>
      </w:r>
      <w:r w:rsidRPr="00543DA9">
        <w:t xml:space="preserve"> </w:t>
      </w:r>
      <w:r>
        <w:t>mais-valor</w:t>
      </w:r>
      <w:r w:rsidRPr="00543DA9">
        <w:t xml:space="preserve"> absoluta sem alterar a composição orgânica do capital.</w:t>
      </w:r>
    </w:p>
    <w:p w14:paraId="4B8862CD" w14:textId="77777777" w:rsidR="00360AEE" w:rsidRDefault="00360AEE" w:rsidP="00803C68">
      <w:pPr>
        <w:pStyle w:val="NormalWeb"/>
        <w:spacing w:before="0" w:after="0" w:line="360" w:lineRule="auto"/>
        <w:ind w:firstLine="709"/>
        <w:jc w:val="both"/>
      </w:pPr>
      <w:r>
        <w:rPr>
          <w:color w:val="auto"/>
        </w:rPr>
        <w:t>Para entender melhor essa relação dialética que perpassa as relações de trabalho no capitalismo, analisamos dados sobre o mercado de trabalho brasileiro e paraense e chegamos aos seguintes resultados, embora não tenhamos conseguido comportar nessa análise mais empírica o fenômeno da terceirização do trabalho enquanto elemento de consolidação de uma nova informalidade. A</w:t>
      </w:r>
      <w:r w:rsidRPr="003C7CB8">
        <w:rPr>
          <w:color w:val="auto"/>
        </w:rPr>
        <w:t xml:space="preserve">o comparar os indicadores </w:t>
      </w:r>
      <w:r>
        <w:rPr>
          <w:color w:val="auto"/>
        </w:rPr>
        <w:t xml:space="preserve">de informalidade </w:t>
      </w:r>
      <w:r w:rsidRPr="003C7CB8">
        <w:rPr>
          <w:color w:val="auto"/>
        </w:rPr>
        <w:t>do Pará com o Brasil</w:t>
      </w:r>
      <w:r>
        <w:rPr>
          <w:color w:val="auto"/>
        </w:rPr>
        <w:t>, o</w:t>
      </w:r>
      <w:r w:rsidRPr="003C7CB8">
        <w:rPr>
          <w:color w:val="auto"/>
        </w:rPr>
        <w:t>bservar</w:t>
      </w:r>
      <w:r>
        <w:rPr>
          <w:color w:val="auto"/>
        </w:rPr>
        <w:t>mos, primeiramente,</w:t>
      </w:r>
      <w:r w:rsidRPr="003C7CB8">
        <w:rPr>
          <w:color w:val="auto"/>
        </w:rPr>
        <w:t xml:space="preserve"> que no estado do Pará o trabalho informal ainda é muito persistente, pois, enquanto no Brasil a taxa de formalidade já conseguiu superar a de informalidade, no Pará isso parece estar distante de ocorrer, demonstrando o alto nível de vulnerabilidade do mercado de trabalho no estado dada as próprias condições da </w:t>
      </w:r>
      <w:r>
        <w:t xml:space="preserve">formação socioeconômica da Amazônia. O peso das ocupações informais na estrutura desses dois mercados de trabalho está atrelado, possivelmente, ao alto nível de concentração de renda inerente à economia brasileira, sendo mais contundente na economia paraense. </w:t>
      </w:r>
    </w:p>
    <w:p w14:paraId="4A433C45" w14:textId="77777777" w:rsidR="00360AEE" w:rsidRDefault="00360AEE" w:rsidP="00803C68">
      <w:pPr>
        <w:pStyle w:val="NormalWeb"/>
        <w:spacing w:before="0" w:after="0" w:line="360" w:lineRule="auto"/>
        <w:ind w:firstLine="709"/>
        <w:jc w:val="both"/>
        <w:rPr>
          <w:color w:val="auto"/>
        </w:rPr>
      </w:pPr>
      <w:r>
        <w:t xml:space="preserve">A taxa muito elevada de informalidade no mercado de trabalho estadual e mesmo o grau de informalidade do trabalho no Brasil revelam que grande parcela dos trabalhadores não acessa benefícios trabalhistas e previdenciários, o que ajuda a baratear e </w:t>
      </w:r>
      <w:proofErr w:type="spellStart"/>
      <w:r>
        <w:t>precarizar</w:t>
      </w:r>
      <w:proofErr w:type="spellEnd"/>
      <w:r>
        <w:t xml:space="preserve"> esta força de trabalho, atuando enquanto elemento de </w:t>
      </w:r>
      <w:proofErr w:type="spellStart"/>
      <w:r>
        <w:t>contratendência</w:t>
      </w:r>
      <w:proofErr w:type="spellEnd"/>
      <w:r>
        <w:t xml:space="preserve"> à queda da taxa de lucro. Os dados acima analisados também reforçam a tese de integração dialética entre o “formal” e o “informal” quando passamos a investigar a distribuição de celetistas e não celetistas por setores de atividades econômicas e percebemos que o setor industrial, comumente o setor mais capitalizado, é responsável </w:t>
      </w:r>
      <w:r>
        <w:lastRenderedPageBreak/>
        <w:t xml:space="preserve">pelo emprego de expressiva parcela de trabalhadores sem carteira assinada tanto no Brasil quanto no Pará. Por fim, os dados sobre jornada de trabalho, por sua vez, parecem sinalizar que o incremento da formalização nesses mercados foi sustentado, entre outros processos, numa </w:t>
      </w:r>
      <w:proofErr w:type="gramStart"/>
      <w:r>
        <w:t>flexibilização</w:t>
      </w:r>
      <w:proofErr w:type="gramEnd"/>
      <w:r>
        <w:t xml:space="preserve"> da jornada de trabalho, possivelmente aumentando o percentual de trabalhadores formais e informais em tempo parcial.</w:t>
      </w:r>
    </w:p>
    <w:p w14:paraId="5CA8826C" w14:textId="77777777" w:rsidR="0041662B" w:rsidRDefault="0041662B" w:rsidP="00803C68">
      <w:pPr>
        <w:pStyle w:val="NormalWeb"/>
        <w:spacing w:before="0" w:after="0" w:line="360" w:lineRule="auto"/>
        <w:jc w:val="both"/>
        <w:rPr>
          <w:b/>
          <w:bCs/>
        </w:rPr>
      </w:pPr>
    </w:p>
    <w:p w14:paraId="4A43D13E" w14:textId="77777777" w:rsidR="003F3DD4" w:rsidRDefault="003F3DD4" w:rsidP="003F3DD4">
      <w:pPr>
        <w:pStyle w:val="NormalWeb"/>
        <w:spacing w:before="0" w:after="0"/>
        <w:jc w:val="both"/>
        <w:rPr>
          <w:b/>
          <w:bCs/>
        </w:rPr>
      </w:pPr>
      <w:r>
        <w:rPr>
          <w:b/>
          <w:bCs/>
        </w:rPr>
        <w:t>REFERÊNCIAS BIBLIOGRÁFICAS</w:t>
      </w:r>
      <w:bookmarkStart w:id="1" w:name="_GoBack"/>
      <w:bookmarkEnd w:id="1"/>
    </w:p>
    <w:p w14:paraId="26BF1017" w14:textId="77777777" w:rsidR="003F3DD4" w:rsidRDefault="003F3DD4" w:rsidP="003F3DD4">
      <w:pPr>
        <w:pStyle w:val="NormalWeb"/>
        <w:spacing w:before="0" w:after="0"/>
        <w:jc w:val="both"/>
        <w:rPr>
          <w:b/>
          <w:bCs/>
        </w:rPr>
      </w:pPr>
    </w:p>
    <w:p w14:paraId="0AD910A9" w14:textId="77777777" w:rsidR="003F3DD4" w:rsidRPr="00E26E8A" w:rsidRDefault="003F3DD4" w:rsidP="00E26E8A">
      <w:pPr>
        <w:autoSpaceDE w:val="0"/>
        <w:autoSpaceDN w:val="0"/>
        <w:adjustRightInd w:val="0"/>
        <w:rPr>
          <w:rFonts w:eastAsiaTheme="minorHAnsi"/>
          <w:lang w:eastAsia="en-US"/>
        </w:rPr>
      </w:pPr>
      <w:r w:rsidRPr="00E26E8A">
        <w:rPr>
          <w:rFonts w:eastAsiaTheme="minorHAnsi"/>
          <w:lang w:eastAsia="en-US"/>
        </w:rPr>
        <w:t xml:space="preserve">ALVES, G. </w:t>
      </w:r>
      <w:r w:rsidRPr="00E26E8A">
        <w:rPr>
          <w:rFonts w:eastAsiaTheme="minorHAnsi"/>
          <w:b/>
          <w:iCs/>
          <w:lang w:eastAsia="en-US"/>
        </w:rPr>
        <w:t>Trabalho e mundialização do capital</w:t>
      </w:r>
      <w:r w:rsidRPr="00E26E8A">
        <w:rPr>
          <w:rFonts w:eastAsiaTheme="minorHAnsi"/>
          <w:i/>
          <w:iCs/>
          <w:lang w:eastAsia="en-US"/>
        </w:rPr>
        <w:t xml:space="preserve"> </w:t>
      </w:r>
      <w:r w:rsidRPr="00E26E8A">
        <w:rPr>
          <w:rFonts w:eastAsiaTheme="minorHAnsi"/>
          <w:iCs/>
          <w:lang w:eastAsia="en-US"/>
        </w:rPr>
        <w:t>– a nova degradação do trabalho na era da globalização</w:t>
      </w:r>
      <w:r w:rsidRPr="00E26E8A">
        <w:rPr>
          <w:rFonts w:eastAsiaTheme="minorHAnsi"/>
          <w:lang w:eastAsia="en-US"/>
        </w:rPr>
        <w:t xml:space="preserve">. </w:t>
      </w:r>
      <w:proofErr w:type="gramStart"/>
      <w:r w:rsidRPr="00E26E8A">
        <w:rPr>
          <w:rFonts w:eastAsiaTheme="minorHAnsi"/>
          <w:lang w:eastAsia="en-US"/>
        </w:rPr>
        <w:t>2</w:t>
      </w:r>
      <w:proofErr w:type="gramEnd"/>
      <w:r w:rsidRPr="00E26E8A">
        <w:rPr>
          <w:rFonts w:eastAsiaTheme="minorHAnsi"/>
          <w:lang w:eastAsia="en-US"/>
        </w:rPr>
        <w:t xml:space="preserve"> ed. Londrina: Editora </w:t>
      </w:r>
      <w:proofErr w:type="spellStart"/>
      <w:r w:rsidRPr="00E26E8A">
        <w:rPr>
          <w:rFonts w:eastAsiaTheme="minorHAnsi"/>
          <w:lang w:eastAsia="en-US"/>
        </w:rPr>
        <w:t>Praxis</w:t>
      </w:r>
      <w:proofErr w:type="spellEnd"/>
      <w:r w:rsidRPr="00E26E8A">
        <w:rPr>
          <w:rFonts w:eastAsiaTheme="minorHAnsi"/>
          <w:lang w:eastAsia="en-US"/>
        </w:rPr>
        <w:t>, 1999.</w:t>
      </w:r>
    </w:p>
    <w:p w14:paraId="4460CFC1" w14:textId="77777777" w:rsidR="003F3DD4" w:rsidRPr="00E26E8A" w:rsidRDefault="003F3DD4" w:rsidP="00E26E8A"/>
    <w:p w14:paraId="510EE6F8" w14:textId="77777777" w:rsidR="003F3DD4" w:rsidRPr="00E26E8A" w:rsidRDefault="003F3DD4" w:rsidP="00E26E8A">
      <w:r w:rsidRPr="00E26E8A">
        <w:t xml:space="preserve">HARVEY, D. </w:t>
      </w:r>
      <w:r w:rsidRPr="00E26E8A">
        <w:rPr>
          <w:b/>
        </w:rPr>
        <w:t>Condição pós-moderna</w:t>
      </w:r>
      <w:r w:rsidRPr="00E26E8A">
        <w:t xml:space="preserve">: uma perspectiva sobre as origens da mudança cultural. 17 ed. São Paulo: Loyola, 2008. </w:t>
      </w:r>
    </w:p>
    <w:p w14:paraId="43BF995A" w14:textId="77777777" w:rsidR="003F3DD4" w:rsidRPr="00E26E8A" w:rsidRDefault="003F3DD4" w:rsidP="00E26E8A"/>
    <w:p w14:paraId="286AE2B2" w14:textId="5E452CD9" w:rsidR="003F3DD4" w:rsidRPr="00E26E8A" w:rsidRDefault="00085763" w:rsidP="00E26E8A">
      <w:r w:rsidRPr="00E26E8A">
        <w:t>HARVEY, D</w:t>
      </w:r>
      <w:r w:rsidR="003F3DD4" w:rsidRPr="00E26E8A">
        <w:t xml:space="preserve">. </w:t>
      </w:r>
      <w:r w:rsidR="003F3DD4" w:rsidRPr="00E26E8A">
        <w:rPr>
          <w:b/>
        </w:rPr>
        <w:t>O Novo Imperialismo</w:t>
      </w:r>
      <w:r w:rsidR="003F3DD4" w:rsidRPr="00E26E8A">
        <w:t xml:space="preserve">. 6. </w:t>
      </w:r>
      <w:proofErr w:type="gramStart"/>
      <w:r w:rsidR="003F3DD4" w:rsidRPr="00E26E8A">
        <w:t>ed.</w:t>
      </w:r>
      <w:proofErr w:type="gramEnd"/>
      <w:r w:rsidR="003F3DD4" w:rsidRPr="00E26E8A">
        <w:t xml:space="preserve"> São Paulo: Edições Loyola, 2012.</w:t>
      </w:r>
    </w:p>
    <w:p w14:paraId="278787B4" w14:textId="77777777" w:rsidR="003F3DD4" w:rsidRPr="00E26E8A" w:rsidRDefault="003F3DD4" w:rsidP="00E26E8A"/>
    <w:p w14:paraId="156DD158" w14:textId="206709E6" w:rsidR="003F3DD4" w:rsidRPr="00E26E8A" w:rsidRDefault="00085763" w:rsidP="00E26E8A">
      <w:r w:rsidRPr="00E26E8A">
        <w:t>HARVEY, D</w:t>
      </w:r>
      <w:r w:rsidR="003F3DD4" w:rsidRPr="00E26E8A">
        <w:t xml:space="preserve">. </w:t>
      </w:r>
      <w:r w:rsidR="003F3DD4" w:rsidRPr="00E26E8A">
        <w:rPr>
          <w:b/>
        </w:rPr>
        <w:t>Para entender O Capital</w:t>
      </w:r>
      <w:r w:rsidR="003F3DD4" w:rsidRPr="00E26E8A">
        <w:t xml:space="preserve">. São Paulo: </w:t>
      </w:r>
      <w:proofErr w:type="spellStart"/>
      <w:r w:rsidR="003F3DD4" w:rsidRPr="00E26E8A">
        <w:t>Boitempo</w:t>
      </w:r>
      <w:proofErr w:type="spellEnd"/>
      <w:r w:rsidR="003F3DD4" w:rsidRPr="00E26E8A">
        <w:t>, 2013.</w:t>
      </w:r>
    </w:p>
    <w:p w14:paraId="3104E55A" w14:textId="77777777" w:rsidR="003F3DD4" w:rsidRPr="00E26E8A" w:rsidRDefault="003F3DD4" w:rsidP="00E26E8A"/>
    <w:p w14:paraId="23DF7302" w14:textId="77777777" w:rsidR="003F3DD4" w:rsidRPr="00E26E8A" w:rsidRDefault="003F3DD4" w:rsidP="00E26E8A">
      <w:pPr>
        <w:rPr>
          <w:color w:val="FF0000"/>
        </w:rPr>
      </w:pPr>
      <w:r w:rsidRPr="00E26E8A">
        <w:rPr>
          <w:lang w:val="en-US"/>
        </w:rPr>
        <w:t xml:space="preserve">HUNT, E. K. Karl Marx. </w:t>
      </w:r>
      <w:r w:rsidRPr="00E26E8A">
        <w:t xml:space="preserve">In: HUNT, E. K. </w:t>
      </w:r>
      <w:r w:rsidRPr="00E26E8A">
        <w:rPr>
          <w:b/>
        </w:rPr>
        <w:t>História do Pensamento Econômico</w:t>
      </w:r>
      <w:r w:rsidRPr="00E26E8A">
        <w:t xml:space="preserve">: uma perspectiva crítica. 7. </w:t>
      </w:r>
      <w:proofErr w:type="gramStart"/>
      <w:r w:rsidRPr="00E26E8A">
        <w:t>ed.</w:t>
      </w:r>
      <w:proofErr w:type="gramEnd"/>
      <w:r w:rsidRPr="00E26E8A">
        <w:t xml:space="preserve"> Rio de Janeiro: Campus, 1989, p. 218-251.</w:t>
      </w:r>
    </w:p>
    <w:p w14:paraId="4E4BC7E0" w14:textId="77777777" w:rsidR="003F3DD4" w:rsidRPr="00E26E8A" w:rsidRDefault="003F3DD4" w:rsidP="00E26E8A"/>
    <w:p w14:paraId="2B9BD37B" w14:textId="7FBE7C45" w:rsidR="00085763" w:rsidRPr="00E26E8A" w:rsidRDefault="00085763" w:rsidP="00E26E8A">
      <w:r w:rsidRPr="00E26E8A">
        <w:t xml:space="preserve">INSTITUTO BRASILEIRO DE GEOGRAFIA E ESTATÍSTICA (IBGE). </w:t>
      </w:r>
      <w:r w:rsidRPr="00E26E8A">
        <w:rPr>
          <w:b/>
        </w:rPr>
        <w:t>Sistema IBGE de Recuperação Automática</w:t>
      </w:r>
      <w:r w:rsidRPr="00E26E8A">
        <w:t xml:space="preserve">, Pesquisa Nacional por Amostra de Domicílios – </w:t>
      </w:r>
      <w:r w:rsidR="00A9654E" w:rsidRPr="00E26E8A">
        <w:t>para vários anos</w:t>
      </w:r>
      <w:r w:rsidRPr="00E26E8A">
        <w:t>. Disponível em:&lt;http://www.sidra.ibge.gov.br/bda/default.asp&gt;. Acesso em 30 mai. 2016.</w:t>
      </w:r>
    </w:p>
    <w:p w14:paraId="13B5416E" w14:textId="77777777" w:rsidR="00085763" w:rsidRPr="00E26E8A" w:rsidRDefault="00085763" w:rsidP="00E26E8A"/>
    <w:p w14:paraId="4C3FC666" w14:textId="77777777" w:rsidR="003F3DD4" w:rsidRPr="00E26E8A" w:rsidRDefault="003F3DD4" w:rsidP="00E26E8A">
      <w:r w:rsidRPr="00E26E8A">
        <w:t xml:space="preserve">MALAGUTI, M. L. </w:t>
      </w:r>
      <w:r w:rsidRPr="00E26E8A">
        <w:rPr>
          <w:b/>
        </w:rPr>
        <w:t>Crítica à razão “informal”</w:t>
      </w:r>
      <w:r w:rsidRPr="00E26E8A">
        <w:t>: a imaterialidade do salariado. Vitória: EDUFES, 2000.</w:t>
      </w:r>
    </w:p>
    <w:p w14:paraId="45AB11B8" w14:textId="77777777" w:rsidR="003F3DD4" w:rsidRPr="00E26E8A" w:rsidRDefault="003F3DD4" w:rsidP="00E26E8A"/>
    <w:p w14:paraId="4ED39171" w14:textId="77777777" w:rsidR="003F3DD4" w:rsidRPr="00E26E8A" w:rsidRDefault="003F3DD4" w:rsidP="00E26E8A">
      <w:r w:rsidRPr="00E26E8A">
        <w:t xml:space="preserve">MARX, K. </w:t>
      </w:r>
      <w:r w:rsidRPr="00E26E8A">
        <w:rPr>
          <w:b/>
        </w:rPr>
        <w:t>O Capital</w:t>
      </w:r>
      <w:r w:rsidRPr="00E26E8A">
        <w:rPr>
          <w:i/>
        </w:rPr>
        <w:t>:</w:t>
      </w:r>
      <w:r w:rsidRPr="00E26E8A">
        <w:t xml:space="preserve"> crítica da economia política, livro primeiro: o processo de produção do capital, vol. I. 25 ed. Rio de Janeiro: Civilização Brasileira, </w:t>
      </w:r>
      <w:proofErr w:type="gramStart"/>
      <w:r w:rsidRPr="00E26E8A">
        <w:t>2008a.</w:t>
      </w:r>
      <w:proofErr w:type="gramEnd"/>
    </w:p>
    <w:p w14:paraId="257F6E79" w14:textId="77777777" w:rsidR="003F3DD4" w:rsidRPr="00E26E8A" w:rsidRDefault="003F3DD4" w:rsidP="00E26E8A"/>
    <w:p w14:paraId="24BDEA4E" w14:textId="3218BC0E" w:rsidR="003F3DD4" w:rsidRPr="00E26E8A" w:rsidRDefault="00085763" w:rsidP="00E26E8A">
      <w:r w:rsidRPr="00E26E8A">
        <w:t>MARX, K</w:t>
      </w:r>
      <w:r w:rsidR="003F3DD4" w:rsidRPr="00E26E8A">
        <w:t xml:space="preserve">. </w:t>
      </w:r>
      <w:r w:rsidR="003F3DD4" w:rsidRPr="00E26E8A">
        <w:rPr>
          <w:b/>
        </w:rPr>
        <w:t>O Capital</w:t>
      </w:r>
      <w:r w:rsidR="003F3DD4" w:rsidRPr="00E26E8A">
        <w:rPr>
          <w:i/>
        </w:rPr>
        <w:t>:</w:t>
      </w:r>
      <w:r w:rsidR="003F3DD4" w:rsidRPr="00E26E8A">
        <w:t xml:space="preserve"> crítica da economia política, livro primeiro: o processo de produção do capital, vol. II. 22 ed. Rio de Janeiro: Civilização Brasileira, 2008b.</w:t>
      </w:r>
    </w:p>
    <w:p w14:paraId="24D27DB7" w14:textId="77777777" w:rsidR="003F3DD4" w:rsidRPr="00E26E8A" w:rsidRDefault="003F3DD4" w:rsidP="00E26E8A"/>
    <w:p w14:paraId="3A2DA4FB" w14:textId="7FA00B5C" w:rsidR="003F3DD4" w:rsidRPr="00E26E8A" w:rsidRDefault="00085763" w:rsidP="00E26E8A">
      <w:r w:rsidRPr="00E26E8A">
        <w:t>MARX, K</w:t>
      </w:r>
      <w:r w:rsidR="003F3DD4" w:rsidRPr="00E26E8A">
        <w:t xml:space="preserve">. </w:t>
      </w:r>
      <w:r w:rsidR="003F3DD4" w:rsidRPr="00E26E8A">
        <w:rPr>
          <w:b/>
        </w:rPr>
        <w:t>O Capital</w:t>
      </w:r>
      <w:r w:rsidR="003F3DD4" w:rsidRPr="00E26E8A">
        <w:rPr>
          <w:i/>
        </w:rPr>
        <w:t>:</w:t>
      </w:r>
      <w:r w:rsidR="003F3DD4" w:rsidRPr="00E26E8A">
        <w:t xml:space="preserve"> crítica da economia política, livro terceiro: o processo global de produção capitalista, vol. IV. Rio de Janeiro: Civilização Brasileira, 2008c.</w:t>
      </w:r>
    </w:p>
    <w:p w14:paraId="041F0050" w14:textId="77777777" w:rsidR="003F3DD4" w:rsidRPr="00E26E8A" w:rsidRDefault="003F3DD4" w:rsidP="00E26E8A"/>
    <w:p w14:paraId="345BA959" w14:textId="7CBA53AF" w:rsidR="003F3DD4" w:rsidRPr="00E26E8A" w:rsidRDefault="00085763" w:rsidP="00E26E8A">
      <w:r w:rsidRPr="00E26E8A">
        <w:t>MARX, K</w:t>
      </w:r>
      <w:r w:rsidR="003F3DD4" w:rsidRPr="00E26E8A">
        <w:t xml:space="preserve">. </w:t>
      </w:r>
      <w:r w:rsidR="003F3DD4" w:rsidRPr="00E26E8A">
        <w:rPr>
          <w:b/>
        </w:rPr>
        <w:t>O Capital</w:t>
      </w:r>
      <w:r w:rsidR="003F3DD4" w:rsidRPr="00E26E8A">
        <w:rPr>
          <w:i/>
        </w:rPr>
        <w:t>:</w:t>
      </w:r>
      <w:r w:rsidR="003F3DD4" w:rsidRPr="00E26E8A">
        <w:t xml:space="preserve"> crítica da economia política: livro II: o processo de circulação do capital. São Paulo: </w:t>
      </w:r>
      <w:proofErr w:type="spellStart"/>
      <w:r w:rsidR="003F3DD4" w:rsidRPr="00E26E8A">
        <w:t>Boitempo</w:t>
      </w:r>
      <w:proofErr w:type="spellEnd"/>
      <w:r w:rsidR="003F3DD4" w:rsidRPr="00E26E8A">
        <w:t>, 2014.</w:t>
      </w:r>
    </w:p>
    <w:p w14:paraId="3B7C7C38" w14:textId="77777777" w:rsidR="003F3DD4" w:rsidRPr="00E26E8A" w:rsidRDefault="003F3DD4" w:rsidP="00E26E8A">
      <w:pP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pPr>
    </w:p>
    <w:p w14:paraId="31B655B9" w14:textId="77777777" w:rsidR="003F3DD4" w:rsidRPr="00E26E8A" w:rsidRDefault="003F3DD4" w:rsidP="00E26E8A">
      <w:pP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pPr>
      <w:r w:rsidRPr="00E26E8A">
        <w:t xml:space="preserve">OLIVEIRA, F. de. </w:t>
      </w:r>
      <w:r w:rsidRPr="00E26E8A">
        <w:rPr>
          <w:b/>
        </w:rPr>
        <w:t>Crítica à Razão Dualista/ O Ornitorrinco</w:t>
      </w:r>
      <w:r w:rsidRPr="00E26E8A">
        <w:t xml:space="preserve">. 3ª </w:t>
      </w:r>
      <w:proofErr w:type="spellStart"/>
      <w:r w:rsidRPr="00E26E8A">
        <w:t>reimp</w:t>
      </w:r>
      <w:proofErr w:type="spellEnd"/>
      <w:r w:rsidRPr="00E26E8A">
        <w:t xml:space="preserve">. São Paulo: </w:t>
      </w:r>
      <w:proofErr w:type="spellStart"/>
      <w:r w:rsidRPr="00E26E8A">
        <w:t>Boitempo</w:t>
      </w:r>
      <w:proofErr w:type="spellEnd"/>
      <w:r w:rsidRPr="00E26E8A">
        <w:t>, 2011.</w:t>
      </w:r>
    </w:p>
    <w:p w14:paraId="3B036AD5" w14:textId="77777777" w:rsidR="003F3DD4" w:rsidRPr="00E26E8A" w:rsidRDefault="003F3DD4" w:rsidP="00E26E8A"/>
    <w:p w14:paraId="0D2631F1" w14:textId="77777777" w:rsidR="003F3DD4" w:rsidRPr="00E26E8A" w:rsidRDefault="003F3DD4" w:rsidP="00E26E8A">
      <w:pP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pPr>
      <w:r w:rsidRPr="00E26E8A">
        <w:t xml:space="preserve">SOARES, M. A. T. </w:t>
      </w:r>
      <w:r w:rsidRPr="00E26E8A">
        <w:rPr>
          <w:rFonts w:eastAsiaTheme="minorHAnsi"/>
          <w:lang w:eastAsia="en-US"/>
        </w:rPr>
        <w:t xml:space="preserve">Trabalho “informal”: da funcionalidade à subsunção ao capital. In: </w:t>
      </w:r>
      <w:r w:rsidRPr="00E26E8A">
        <w:rPr>
          <w:rFonts w:eastAsiaTheme="minorHAnsi"/>
          <w:b/>
          <w:lang w:eastAsia="en-US"/>
        </w:rPr>
        <w:t>Anais do IX Encontro Nacional de Economia Política</w:t>
      </w:r>
      <w:r w:rsidRPr="00E26E8A">
        <w:rPr>
          <w:rFonts w:eastAsiaTheme="minorHAnsi"/>
          <w:lang w:eastAsia="en-US"/>
        </w:rPr>
        <w:t>, Uberlândia, v. 1, 2004.</w:t>
      </w:r>
    </w:p>
    <w:p w14:paraId="0D56A5BF" w14:textId="77777777" w:rsidR="003F3DD4" w:rsidRPr="00E26E8A" w:rsidRDefault="003F3DD4" w:rsidP="00E26E8A">
      <w:pP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rPr>
          <w:iCs/>
        </w:rPr>
      </w:pPr>
    </w:p>
    <w:p w14:paraId="502156E5" w14:textId="76E7BD83" w:rsidR="003F3DD4" w:rsidRPr="00E26E8A" w:rsidRDefault="00085763" w:rsidP="00E26E8A">
      <w:pP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pPr>
      <w:r w:rsidRPr="00E26E8A">
        <w:lastRenderedPageBreak/>
        <w:t>SOARES, M. A. T</w:t>
      </w:r>
      <w:r w:rsidR="003F3DD4" w:rsidRPr="00E26E8A">
        <w:rPr>
          <w:iCs/>
        </w:rPr>
        <w:t xml:space="preserve">. </w:t>
      </w:r>
      <w:r w:rsidR="003F3DD4" w:rsidRPr="00E26E8A">
        <w:rPr>
          <w:b/>
          <w:iCs/>
        </w:rPr>
        <w:t>Trabalho “informal”</w:t>
      </w:r>
      <w:r w:rsidR="003F3DD4" w:rsidRPr="00E26E8A">
        <w:rPr>
          <w:iCs/>
        </w:rPr>
        <w:t>: da funcionalidade à subsunção ao capital</w:t>
      </w:r>
      <w:r w:rsidR="003F3DD4" w:rsidRPr="00E26E8A">
        <w:t xml:space="preserve">. Vitória da Conquista: Edições </w:t>
      </w:r>
      <w:proofErr w:type="spellStart"/>
      <w:r w:rsidR="003F3DD4" w:rsidRPr="00E26E8A">
        <w:t>Uesb</w:t>
      </w:r>
      <w:proofErr w:type="spellEnd"/>
      <w:r w:rsidR="003F3DD4" w:rsidRPr="00E26E8A">
        <w:t>, 2008.</w:t>
      </w:r>
    </w:p>
    <w:p w14:paraId="2A0F661C" w14:textId="77777777" w:rsidR="003F3DD4" w:rsidRPr="00E26E8A" w:rsidRDefault="003F3DD4" w:rsidP="00E26E8A">
      <w:pPr>
        <w:autoSpaceDE w:val="0"/>
        <w:autoSpaceDN w:val="0"/>
        <w:adjustRightInd w:val="0"/>
        <w:rPr>
          <w:rFonts w:eastAsiaTheme="minorHAnsi"/>
          <w:lang w:eastAsia="en-US"/>
        </w:rPr>
      </w:pPr>
    </w:p>
    <w:p w14:paraId="2BCD0EA0" w14:textId="77777777" w:rsidR="003F3DD4" w:rsidRPr="00E26E8A" w:rsidRDefault="003F3DD4" w:rsidP="00E26E8A">
      <w:pPr>
        <w:autoSpaceDE w:val="0"/>
        <w:autoSpaceDN w:val="0"/>
        <w:adjustRightInd w:val="0"/>
        <w:rPr>
          <w:b/>
          <w:u w:val="single"/>
        </w:rPr>
      </w:pPr>
      <w:r w:rsidRPr="00E26E8A">
        <w:rPr>
          <w:rFonts w:eastAsiaTheme="minorHAnsi"/>
          <w:lang w:eastAsia="en-US"/>
        </w:rPr>
        <w:t xml:space="preserve">SABADINI, M.; NAKATANI, P. Desestruturação e “informalidade” do mercado de trabalho no Brasil. In: </w:t>
      </w:r>
      <w:r w:rsidRPr="00E26E8A">
        <w:rPr>
          <w:rFonts w:eastAsiaTheme="minorHAnsi"/>
          <w:b/>
          <w:lang w:eastAsia="en-US"/>
        </w:rPr>
        <w:t xml:space="preserve">Revista </w:t>
      </w:r>
      <w:proofErr w:type="spellStart"/>
      <w:r w:rsidRPr="00E26E8A">
        <w:rPr>
          <w:rFonts w:eastAsiaTheme="minorHAnsi"/>
          <w:b/>
          <w:lang w:eastAsia="en-US"/>
        </w:rPr>
        <w:t>Venezolana</w:t>
      </w:r>
      <w:proofErr w:type="spellEnd"/>
      <w:r w:rsidRPr="00E26E8A">
        <w:rPr>
          <w:rFonts w:eastAsiaTheme="minorHAnsi"/>
          <w:b/>
          <w:lang w:eastAsia="en-US"/>
        </w:rPr>
        <w:t xml:space="preserve"> de </w:t>
      </w:r>
      <w:proofErr w:type="spellStart"/>
      <w:r w:rsidRPr="00E26E8A">
        <w:rPr>
          <w:rFonts w:eastAsiaTheme="minorHAnsi"/>
          <w:b/>
          <w:lang w:eastAsia="en-US"/>
        </w:rPr>
        <w:t>Análisis</w:t>
      </w:r>
      <w:proofErr w:type="spellEnd"/>
      <w:r w:rsidRPr="00E26E8A">
        <w:rPr>
          <w:rFonts w:eastAsiaTheme="minorHAnsi"/>
          <w:b/>
          <w:lang w:eastAsia="en-US"/>
        </w:rPr>
        <w:t xml:space="preserve"> de </w:t>
      </w:r>
      <w:proofErr w:type="spellStart"/>
      <w:r w:rsidRPr="00E26E8A">
        <w:rPr>
          <w:rFonts w:eastAsiaTheme="minorHAnsi"/>
          <w:b/>
          <w:lang w:eastAsia="en-US"/>
        </w:rPr>
        <w:t>Coyuntura</w:t>
      </w:r>
      <w:proofErr w:type="spellEnd"/>
      <w:r w:rsidRPr="00E26E8A">
        <w:rPr>
          <w:rFonts w:eastAsiaTheme="minorHAnsi"/>
          <w:lang w:eastAsia="en-US"/>
        </w:rPr>
        <w:t xml:space="preserve">, Caracas, IIES-FACES, v. </w:t>
      </w:r>
      <w:proofErr w:type="gramStart"/>
      <w:r w:rsidRPr="00E26E8A">
        <w:rPr>
          <w:rFonts w:eastAsiaTheme="minorHAnsi"/>
          <w:lang w:eastAsia="en-US"/>
        </w:rPr>
        <w:t>VIII, n.</w:t>
      </w:r>
      <w:proofErr w:type="gramEnd"/>
      <w:r w:rsidRPr="00E26E8A">
        <w:rPr>
          <w:rFonts w:eastAsiaTheme="minorHAnsi"/>
          <w:lang w:eastAsia="en-US"/>
        </w:rPr>
        <w:t xml:space="preserve"> 2, p. 265-290. </w:t>
      </w:r>
    </w:p>
    <w:p w14:paraId="74B6CA6B" w14:textId="77777777" w:rsidR="003F3DD4" w:rsidRPr="00E26E8A" w:rsidRDefault="003F3DD4" w:rsidP="00E26E8A"/>
    <w:p w14:paraId="238050DA" w14:textId="77777777" w:rsidR="003F3DD4" w:rsidRPr="00E26E8A" w:rsidRDefault="003F3DD4" w:rsidP="00E26E8A">
      <w:r w:rsidRPr="00E26E8A">
        <w:t xml:space="preserve">TAVARES, M. A. </w:t>
      </w:r>
      <w:r w:rsidRPr="00E26E8A">
        <w:rPr>
          <w:b/>
        </w:rPr>
        <w:t>Trabalho “informal”</w:t>
      </w:r>
      <w:r w:rsidRPr="00E26E8A">
        <w:t>: os fios (in</w:t>
      </w:r>
      <w:proofErr w:type="gramStart"/>
      <w:r w:rsidRPr="00E26E8A">
        <w:t>)visíveis</w:t>
      </w:r>
      <w:proofErr w:type="gramEnd"/>
      <w:r w:rsidRPr="00E26E8A">
        <w:t xml:space="preserve"> da produção capitalista. In: </w:t>
      </w:r>
      <w:r w:rsidRPr="00E26E8A">
        <w:rPr>
          <w:i/>
        </w:rPr>
        <w:t>Revista Outubro</w:t>
      </w:r>
      <w:r w:rsidRPr="00E26E8A">
        <w:t>, n.7, 2002.</w:t>
      </w:r>
    </w:p>
    <w:p w14:paraId="0CAA76EB" w14:textId="77777777" w:rsidR="003F3DD4" w:rsidRPr="00E26E8A" w:rsidRDefault="003F3DD4" w:rsidP="00E26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2A0BFEF" w14:textId="4205B3A6" w:rsidR="003F3DD4" w:rsidRPr="00E26E8A" w:rsidRDefault="00085763" w:rsidP="00E26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26E8A">
        <w:t>TAVARES, M. A</w:t>
      </w:r>
      <w:r w:rsidR="003F3DD4" w:rsidRPr="00E26E8A">
        <w:t xml:space="preserve">. </w:t>
      </w:r>
      <w:r w:rsidR="003F3DD4" w:rsidRPr="00E26E8A">
        <w:rPr>
          <w:b/>
        </w:rPr>
        <w:t>Os fios (in</w:t>
      </w:r>
      <w:proofErr w:type="gramStart"/>
      <w:r w:rsidR="003F3DD4" w:rsidRPr="00E26E8A">
        <w:rPr>
          <w:b/>
        </w:rPr>
        <w:t>)visíveis</w:t>
      </w:r>
      <w:proofErr w:type="gramEnd"/>
      <w:r w:rsidR="003F3DD4" w:rsidRPr="00E26E8A">
        <w:rPr>
          <w:b/>
        </w:rPr>
        <w:t xml:space="preserve"> da produção capitalista</w:t>
      </w:r>
      <w:r w:rsidR="003F3DD4" w:rsidRPr="00E26E8A">
        <w:rPr>
          <w:i/>
        </w:rPr>
        <w:t xml:space="preserve">: </w:t>
      </w:r>
      <w:r w:rsidR="003F3DD4" w:rsidRPr="00E26E8A">
        <w:t>“informalidade” e precarização do trabalho. São Paulo: Cortez, 2004.</w:t>
      </w:r>
    </w:p>
    <w:p w14:paraId="6BEFEDE4" w14:textId="77777777" w:rsidR="00C729B8" w:rsidRDefault="00C729B8"/>
    <w:sectPr w:rsidR="00C729B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64135" w14:textId="77777777" w:rsidR="00B230F1" w:rsidRDefault="00B230F1" w:rsidP="003106F1">
      <w:r>
        <w:separator/>
      </w:r>
    </w:p>
  </w:endnote>
  <w:endnote w:type="continuationSeparator" w:id="0">
    <w:p w14:paraId="13464919" w14:textId="77777777" w:rsidR="00B230F1" w:rsidRDefault="00B230F1" w:rsidP="0031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72829"/>
      <w:docPartObj>
        <w:docPartGallery w:val="Page Numbers (Bottom of Page)"/>
        <w:docPartUnique/>
      </w:docPartObj>
    </w:sdtPr>
    <w:sdtContent>
      <w:p w14:paraId="38B12DDB" w14:textId="25175DFD" w:rsidR="00196029" w:rsidRDefault="00196029">
        <w:pPr>
          <w:pStyle w:val="Rodap"/>
          <w:jc w:val="right"/>
        </w:pPr>
        <w:r>
          <w:fldChar w:fldCharType="begin"/>
        </w:r>
        <w:r>
          <w:instrText>PAGE   \* MERGEFORMAT</w:instrText>
        </w:r>
        <w:r>
          <w:fldChar w:fldCharType="separate"/>
        </w:r>
        <w:r w:rsidR="00E26E8A">
          <w:rPr>
            <w:noProof/>
          </w:rPr>
          <w:t>18</w:t>
        </w:r>
        <w:r>
          <w:fldChar w:fldCharType="end"/>
        </w:r>
      </w:p>
    </w:sdtContent>
  </w:sdt>
  <w:p w14:paraId="4932A8A3" w14:textId="77777777" w:rsidR="00196029" w:rsidRDefault="001960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E142" w14:textId="77777777" w:rsidR="00B230F1" w:rsidRDefault="00B230F1" w:rsidP="003106F1">
      <w:r>
        <w:separator/>
      </w:r>
    </w:p>
  </w:footnote>
  <w:footnote w:type="continuationSeparator" w:id="0">
    <w:p w14:paraId="7C5C8F76" w14:textId="77777777" w:rsidR="00B230F1" w:rsidRDefault="00B230F1" w:rsidP="003106F1">
      <w:r>
        <w:continuationSeparator/>
      </w:r>
    </w:p>
  </w:footnote>
  <w:footnote w:id="1">
    <w:p w14:paraId="78EAC807" w14:textId="77777777" w:rsidR="00196029" w:rsidRDefault="00196029" w:rsidP="002258CA">
      <w:pPr>
        <w:pStyle w:val="Textodenotaderodap"/>
        <w:jc w:val="both"/>
        <w:rPr>
          <w:rFonts w:ascii="Times New Roman" w:hAnsi="Times New Roman" w:cs="Times New Roman"/>
        </w:rPr>
      </w:pPr>
      <w:r>
        <w:rPr>
          <w:rStyle w:val="Refdenotaderodap"/>
          <w:rFonts w:ascii="Times New Roman" w:hAnsi="Times New Roman"/>
        </w:rPr>
        <w:footnoteRef/>
      </w:r>
      <w:r>
        <w:rPr>
          <w:rFonts w:ascii="Times New Roman" w:hAnsi="Times New Roman" w:cs="Times New Roman"/>
        </w:rPr>
        <w:t xml:space="preserve"> Subcoordenadora do Observatório Paraense do Mercado de Trabalho (OPAMET), professora da Faculdade de Ciências Econômicas da Universidade Federal do Pará (FACECON-UFPA) e doutoranda em Economia do Programa de Pós-Graduação </w:t>
      </w:r>
      <w:bookmarkStart w:id="0" w:name="__DdeLink__106_823041883"/>
      <w:r>
        <w:rPr>
          <w:rFonts w:ascii="Times New Roman" w:hAnsi="Times New Roman" w:cs="Times New Roman"/>
        </w:rPr>
        <w:t xml:space="preserve">em Economia da UFPA (PPGE-UFPA). </w:t>
      </w:r>
      <w:r w:rsidRPr="002258CA">
        <w:rPr>
          <w:rFonts w:ascii="Times New Roman" w:hAnsi="Times New Roman" w:cs="Times New Roman"/>
        </w:rPr>
        <w:t>(</w:t>
      </w:r>
      <w:hyperlink r:id="rId1" w:history="1">
        <w:r w:rsidRPr="002258CA">
          <w:rPr>
            <w:rStyle w:val="Hyperlink"/>
            <w:rFonts w:ascii="Times New Roman" w:hAnsi="Times New Roman" w:cs="Times New Roman"/>
            <w:color w:val="auto"/>
            <w:u w:val="none"/>
          </w:rPr>
          <w:t>cleidinsousa@yahoo.com.br</w:t>
        </w:r>
        <w:bookmarkEnd w:id="0"/>
      </w:hyperlink>
      <w:r>
        <w:rPr>
          <w:rFonts w:ascii="Times New Roman" w:hAnsi="Times New Roman" w:cs="Times New Roman"/>
        </w:rPr>
        <w:t>)</w:t>
      </w:r>
    </w:p>
  </w:footnote>
  <w:footnote w:id="2">
    <w:p w14:paraId="6208B053" w14:textId="77777777" w:rsidR="00196029" w:rsidRDefault="00196029" w:rsidP="007F23E9">
      <w:pPr>
        <w:pStyle w:val="Textodenotaderodap"/>
        <w:jc w:val="both"/>
        <w:rPr>
          <w:rFonts w:ascii="Times New Roman" w:hAnsi="Times New Roman" w:cs="Times New Roman"/>
        </w:rPr>
      </w:pPr>
      <w:r>
        <w:rPr>
          <w:rStyle w:val="Refdenotaderodap"/>
          <w:rFonts w:ascii="Times New Roman" w:hAnsi="Times New Roman"/>
        </w:rPr>
        <w:footnoteRef/>
      </w:r>
      <w:r>
        <w:rPr>
          <w:rFonts w:ascii="Times New Roman" w:hAnsi="Times New Roman" w:cs="Times New Roman"/>
        </w:rPr>
        <w:t xml:space="preserve"> Economista pela UFPA e doutoranda em Economia do PPGE/UFPA. (luci_romeu@yahoo.com.br)</w:t>
      </w:r>
    </w:p>
  </w:footnote>
  <w:footnote w:id="3">
    <w:p w14:paraId="02613CB1" w14:textId="77777777" w:rsidR="00196029" w:rsidRDefault="00196029" w:rsidP="007F23E9">
      <w:pPr>
        <w:pStyle w:val="Textodenotaderodap"/>
        <w:jc w:val="both"/>
      </w:pPr>
      <w:r>
        <w:rPr>
          <w:rStyle w:val="Refdenotaderodap"/>
          <w:rFonts w:ascii="Times New Roman" w:hAnsi="Times New Roman"/>
        </w:rPr>
        <w:footnoteRef/>
      </w:r>
      <w:r>
        <w:rPr>
          <w:rFonts w:ascii="Times New Roman" w:hAnsi="Times New Roman" w:cs="Times New Roman"/>
        </w:rPr>
        <w:t xml:space="preserve"> Graduanda em Economia pela UFPA. </w:t>
      </w:r>
      <w:r w:rsidRPr="002258CA">
        <w:rPr>
          <w:rFonts w:ascii="Times New Roman" w:hAnsi="Times New Roman" w:cs="Times New Roman"/>
        </w:rPr>
        <w:t>(</w:t>
      </w:r>
      <w:hyperlink r:id="rId2" w:history="1">
        <w:r w:rsidRPr="002258CA">
          <w:rPr>
            <w:rStyle w:val="Hyperlink"/>
            <w:rFonts w:ascii="Times New Roman" w:hAnsi="Times New Roman" w:cs="Times New Roman"/>
            <w:color w:val="auto"/>
            <w:u w:val="none"/>
          </w:rPr>
          <w:t>mariza_mathis@hotmail.com</w:t>
        </w:r>
      </w:hyperlink>
      <w:r>
        <w:rPr>
          <w:rFonts w:ascii="Times New Roman" w:hAnsi="Times New Roman" w:cs="Times New Roman"/>
        </w:rPr>
        <w:t>)</w:t>
      </w:r>
    </w:p>
  </w:footnote>
  <w:footnote w:id="4">
    <w:p w14:paraId="6762124A" w14:textId="77777777" w:rsidR="00196029" w:rsidRDefault="00196029" w:rsidP="003106F1">
      <w:pPr>
        <w:pStyle w:val="Corpodetexto2"/>
        <w:rPr>
          <w:sz w:val="18"/>
        </w:rPr>
      </w:pPr>
      <w:r w:rsidRPr="00104305">
        <w:rPr>
          <w:sz w:val="18"/>
        </w:rPr>
        <w:footnoteRef/>
      </w:r>
      <w:r w:rsidRPr="00104305">
        <w:rPr>
          <w:sz w:val="18"/>
        </w:rPr>
        <w:t xml:space="preserve"> No capitalismo, o excedente econômico toma a forma da </w:t>
      </w:r>
      <w:r>
        <w:rPr>
          <w:sz w:val="18"/>
        </w:rPr>
        <w:t>mais-valor</w:t>
      </w:r>
      <w:r w:rsidRPr="00104305">
        <w:rPr>
          <w:sz w:val="18"/>
        </w:rPr>
        <w:t xml:space="preserve"> que pode ser ampliada através do prolongamento ou intensificação da jornada de trabalho, configurando </w:t>
      </w:r>
      <w:r>
        <w:rPr>
          <w:sz w:val="18"/>
        </w:rPr>
        <w:t>mais-valor absoluto</w:t>
      </w:r>
      <w:r w:rsidRPr="00104305">
        <w:rPr>
          <w:sz w:val="18"/>
        </w:rPr>
        <w:t xml:space="preserve">, e/ou da elevação da produtividade do trabalho a partir das inovações técnicas, organizacionais e, sobretudo, tecnológicas, caracterizando a </w:t>
      </w:r>
      <w:r>
        <w:rPr>
          <w:sz w:val="18"/>
        </w:rPr>
        <w:t>mais-valor</w:t>
      </w:r>
      <w:r w:rsidRPr="00104305">
        <w:rPr>
          <w:sz w:val="18"/>
        </w:rPr>
        <w:t xml:space="preserve"> relativa.</w:t>
      </w:r>
    </w:p>
    <w:p w14:paraId="38647F5F" w14:textId="77777777" w:rsidR="00196029" w:rsidRPr="00104305" w:rsidRDefault="00196029" w:rsidP="003106F1">
      <w:pPr>
        <w:pStyle w:val="Corpodetexto2"/>
        <w:rPr>
          <w:sz w:val="18"/>
        </w:rPr>
      </w:pPr>
    </w:p>
  </w:footnote>
  <w:footnote w:id="5">
    <w:p w14:paraId="02772BDE" w14:textId="77777777" w:rsidR="00196029" w:rsidRPr="00104305" w:rsidRDefault="00196029" w:rsidP="003106F1">
      <w:pPr>
        <w:pStyle w:val="Corpodetexto2"/>
        <w:rPr>
          <w:sz w:val="18"/>
        </w:rPr>
      </w:pPr>
      <w:r w:rsidRPr="00104305">
        <w:rPr>
          <w:sz w:val="18"/>
        </w:rPr>
        <w:footnoteRef/>
      </w:r>
      <w:r>
        <w:rPr>
          <w:sz w:val="18"/>
        </w:rPr>
        <w:t xml:space="preserve"> As inovações tecnológica</w:t>
      </w:r>
      <w:r w:rsidRPr="00104305">
        <w:rPr>
          <w:sz w:val="18"/>
        </w:rPr>
        <w:t>s interessam muito à classe capitalista. Sendo pioneiro na mudança do padrão tecnológico do ramo de produção em que atua, o capitalista inovador tem a oportunidade, por um lado, de reduzir os custos de produção da mercadoria que oferta e, por outro, conseguir um lucro extraordinário, uma vez que realiza sua mercadoria pelo seu valor social e não individual.</w:t>
      </w:r>
    </w:p>
  </w:footnote>
  <w:footnote w:id="6">
    <w:p w14:paraId="30DA9AA6" w14:textId="77777777" w:rsidR="00196029" w:rsidRPr="00104305" w:rsidRDefault="00196029" w:rsidP="003106F1">
      <w:pPr>
        <w:pStyle w:val="Corpodetexto2"/>
        <w:rPr>
          <w:sz w:val="18"/>
        </w:rPr>
      </w:pPr>
      <w:r w:rsidRPr="00104305">
        <w:rPr>
          <w:sz w:val="18"/>
        </w:rPr>
        <w:footnoteRef/>
      </w:r>
      <w:r w:rsidRPr="00104305">
        <w:rPr>
          <w:sz w:val="18"/>
        </w:rPr>
        <w:t xml:space="preserve"> Marx (2008c) enumerou o aumento do grau de exploração do trabalho, a redução dos salários abaixo de seu valor, a baixa de preço dos elementos do capital constante, a superpopulação relativa, o comércio exterior e o aumento do capital em ações como </w:t>
      </w:r>
      <w:proofErr w:type="spellStart"/>
      <w:r w:rsidRPr="00104305">
        <w:rPr>
          <w:sz w:val="18"/>
        </w:rPr>
        <w:t>contratendências</w:t>
      </w:r>
      <w:proofErr w:type="spellEnd"/>
      <w:r w:rsidRPr="00104305">
        <w:rPr>
          <w:sz w:val="18"/>
        </w:rPr>
        <w:t xml:space="preserve"> à queda da taxa de lucro.</w:t>
      </w:r>
    </w:p>
  </w:footnote>
  <w:footnote w:id="7">
    <w:p w14:paraId="391C7FA5" w14:textId="77777777" w:rsidR="000835ED" w:rsidRPr="000835ED" w:rsidRDefault="000835ED" w:rsidP="000835ED">
      <w:pPr>
        <w:jc w:val="both"/>
        <w:rPr>
          <w:sz w:val="20"/>
          <w:szCs w:val="20"/>
        </w:rPr>
      </w:pPr>
      <w:r w:rsidRPr="000835ED">
        <w:rPr>
          <w:rStyle w:val="Refdenotaderodap"/>
          <w:sz w:val="20"/>
          <w:szCs w:val="20"/>
        </w:rPr>
        <w:footnoteRef/>
      </w:r>
      <w:r w:rsidRPr="000835ED">
        <w:rPr>
          <w:sz w:val="20"/>
          <w:szCs w:val="20"/>
        </w:rPr>
        <w:t xml:space="preserve"> </w:t>
      </w:r>
      <w:r w:rsidRPr="000835ED">
        <w:rPr>
          <w:sz w:val="20"/>
          <w:szCs w:val="20"/>
        </w:rPr>
        <w:t>Para tanto, calculamos a taxa de informalidade como a soma entre empregados sem carteira, trabalhadores por conta própria, não remunerados divido por esta soma acrescida dos trabalhadores protegidos e empregadores, multiplicado por cem, ao passo que a taxa de formalidade foi calculada como a divisão entre a soma dos empregadores e trabalhadores protegidos e a soma destes acrescida com os empregados sem carteira, trabalhadores por conta própria e não remunerados, multiplicado por cem.</w:t>
      </w:r>
    </w:p>
    <w:p w14:paraId="3D535E32" w14:textId="4B41DF33" w:rsidR="000835ED" w:rsidRDefault="000835ED">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D56C6"/>
    <w:multiLevelType w:val="hybridMultilevel"/>
    <w:tmpl w:val="699E30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F1"/>
    <w:rsid w:val="0002280A"/>
    <w:rsid w:val="000279CA"/>
    <w:rsid w:val="00056E4A"/>
    <w:rsid w:val="000835ED"/>
    <w:rsid w:val="0008492A"/>
    <w:rsid w:val="00085763"/>
    <w:rsid w:val="000869F9"/>
    <w:rsid w:val="000A011F"/>
    <w:rsid w:val="000A0A41"/>
    <w:rsid w:val="000A4A0C"/>
    <w:rsid w:val="000C0E9E"/>
    <w:rsid w:val="000D6A37"/>
    <w:rsid w:val="000F244D"/>
    <w:rsid w:val="00135645"/>
    <w:rsid w:val="00142ABF"/>
    <w:rsid w:val="0014312A"/>
    <w:rsid w:val="001552F3"/>
    <w:rsid w:val="00172923"/>
    <w:rsid w:val="001811BF"/>
    <w:rsid w:val="00185010"/>
    <w:rsid w:val="00186560"/>
    <w:rsid w:val="00193DDD"/>
    <w:rsid w:val="00196029"/>
    <w:rsid w:val="001A2CE5"/>
    <w:rsid w:val="001A4A4A"/>
    <w:rsid w:val="001C71D9"/>
    <w:rsid w:val="0022220F"/>
    <w:rsid w:val="002258CA"/>
    <w:rsid w:val="00232544"/>
    <w:rsid w:val="00235E57"/>
    <w:rsid w:val="002510E8"/>
    <w:rsid w:val="0026200E"/>
    <w:rsid w:val="00272424"/>
    <w:rsid w:val="00283713"/>
    <w:rsid w:val="00293C65"/>
    <w:rsid w:val="002B247F"/>
    <w:rsid w:val="002E56DA"/>
    <w:rsid w:val="003106F1"/>
    <w:rsid w:val="00312649"/>
    <w:rsid w:val="00315A30"/>
    <w:rsid w:val="00320A53"/>
    <w:rsid w:val="00332F20"/>
    <w:rsid w:val="00334788"/>
    <w:rsid w:val="003503BA"/>
    <w:rsid w:val="00352F05"/>
    <w:rsid w:val="00360AEE"/>
    <w:rsid w:val="003700B5"/>
    <w:rsid w:val="003805B9"/>
    <w:rsid w:val="00387146"/>
    <w:rsid w:val="00397C8E"/>
    <w:rsid w:val="003A46CC"/>
    <w:rsid w:val="003C7CB8"/>
    <w:rsid w:val="003D0AE7"/>
    <w:rsid w:val="003D37AC"/>
    <w:rsid w:val="003D41A0"/>
    <w:rsid w:val="003F14EF"/>
    <w:rsid w:val="003F3DD4"/>
    <w:rsid w:val="00401493"/>
    <w:rsid w:val="0041662B"/>
    <w:rsid w:val="0042343B"/>
    <w:rsid w:val="00430F62"/>
    <w:rsid w:val="00444F1B"/>
    <w:rsid w:val="004608FB"/>
    <w:rsid w:val="00471970"/>
    <w:rsid w:val="00481817"/>
    <w:rsid w:val="0048550D"/>
    <w:rsid w:val="00491217"/>
    <w:rsid w:val="004A7242"/>
    <w:rsid w:val="004C4B58"/>
    <w:rsid w:val="004C63AC"/>
    <w:rsid w:val="004D4D56"/>
    <w:rsid w:val="004F2911"/>
    <w:rsid w:val="00505C85"/>
    <w:rsid w:val="005212A2"/>
    <w:rsid w:val="00525CB9"/>
    <w:rsid w:val="00552BD9"/>
    <w:rsid w:val="0057079D"/>
    <w:rsid w:val="00571999"/>
    <w:rsid w:val="00574E05"/>
    <w:rsid w:val="005862D0"/>
    <w:rsid w:val="005B2FCF"/>
    <w:rsid w:val="005B3209"/>
    <w:rsid w:val="005D5524"/>
    <w:rsid w:val="00607A3D"/>
    <w:rsid w:val="006121F5"/>
    <w:rsid w:val="00633D3E"/>
    <w:rsid w:val="0065238F"/>
    <w:rsid w:val="006911B5"/>
    <w:rsid w:val="006A2C27"/>
    <w:rsid w:val="006A5CE8"/>
    <w:rsid w:val="006B6CC5"/>
    <w:rsid w:val="006C6E3C"/>
    <w:rsid w:val="006E17F9"/>
    <w:rsid w:val="006F58E9"/>
    <w:rsid w:val="0071701D"/>
    <w:rsid w:val="00732E5F"/>
    <w:rsid w:val="00735EE0"/>
    <w:rsid w:val="00750BA5"/>
    <w:rsid w:val="00754504"/>
    <w:rsid w:val="007814AE"/>
    <w:rsid w:val="00796F76"/>
    <w:rsid w:val="00797270"/>
    <w:rsid w:val="007A1FF0"/>
    <w:rsid w:val="007F23E9"/>
    <w:rsid w:val="00803C68"/>
    <w:rsid w:val="00815C24"/>
    <w:rsid w:val="00821510"/>
    <w:rsid w:val="0084238C"/>
    <w:rsid w:val="00855057"/>
    <w:rsid w:val="008559E9"/>
    <w:rsid w:val="008563DD"/>
    <w:rsid w:val="00875232"/>
    <w:rsid w:val="00892279"/>
    <w:rsid w:val="008A235A"/>
    <w:rsid w:val="008A784E"/>
    <w:rsid w:val="00901625"/>
    <w:rsid w:val="009059BB"/>
    <w:rsid w:val="009518A9"/>
    <w:rsid w:val="00961B28"/>
    <w:rsid w:val="00962FC7"/>
    <w:rsid w:val="00964CA5"/>
    <w:rsid w:val="00966229"/>
    <w:rsid w:val="009B7DB8"/>
    <w:rsid w:val="009C1BC4"/>
    <w:rsid w:val="009F4DE1"/>
    <w:rsid w:val="009F6A7C"/>
    <w:rsid w:val="00A00A1D"/>
    <w:rsid w:val="00A06426"/>
    <w:rsid w:val="00A231BA"/>
    <w:rsid w:val="00A274E3"/>
    <w:rsid w:val="00A37321"/>
    <w:rsid w:val="00A44321"/>
    <w:rsid w:val="00A510A9"/>
    <w:rsid w:val="00A6195E"/>
    <w:rsid w:val="00A7526D"/>
    <w:rsid w:val="00A87168"/>
    <w:rsid w:val="00A90A93"/>
    <w:rsid w:val="00A9654E"/>
    <w:rsid w:val="00AB66ED"/>
    <w:rsid w:val="00AD5CAB"/>
    <w:rsid w:val="00AE16D1"/>
    <w:rsid w:val="00AF1AEB"/>
    <w:rsid w:val="00AF7412"/>
    <w:rsid w:val="00B15B34"/>
    <w:rsid w:val="00B230F1"/>
    <w:rsid w:val="00B2324A"/>
    <w:rsid w:val="00B33662"/>
    <w:rsid w:val="00B4010A"/>
    <w:rsid w:val="00B40C8E"/>
    <w:rsid w:val="00B465E2"/>
    <w:rsid w:val="00B5355A"/>
    <w:rsid w:val="00B570CB"/>
    <w:rsid w:val="00B80247"/>
    <w:rsid w:val="00B850E1"/>
    <w:rsid w:val="00B93523"/>
    <w:rsid w:val="00BB3569"/>
    <w:rsid w:val="00BC4663"/>
    <w:rsid w:val="00BD0A78"/>
    <w:rsid w:val="00BD6191"/>
    <w:rsid w:val="00BE477A"/>
    <w:rsid w:val="00BF247A"/>
    <w:rsid w:val="00BF6084"/>
    <w:rsid w:val="00C0409D"/>
    <w:rsid w:val="00C26B76"/>
    <w:rsid w:val="00C36BD5"/>
    <w:rsid w:val="00C72510"/>
    <w:rsid w:val="00C729B8"/>
    <w:rsid w:val="00C73EC3"/>
    <w:rsid w:val="00C81EAA"/>
    <w:rsid w:val="00C90FE6"/>
    <w:rsid w:val="00C9676F"/>
    <w:rsid w:val="00CA16CE"/>
    <w:rsid w:val="00CB30DD"/>
    <w:rsid w:val="00CC2D51"/>
    <w:rsid w:val="00CE6849"/>
    <w:rsid w:val="00CF3585"/>
    <w:rsid w:val="00D17FA3"/>
    <w:rsid w:val="00D23DCB"/>
    <w:rsid w:val="00D30A3E"/>
    <w:rsid w:val="00D34DA2"/>
    <w:rsid w:val="00D411D3"/>
    <w:rsid w:val="00D446F0"/>
    <w:rsid w:val="00D47DD5"/>
    <w:rsid w:val="00D550E9"/>
    <w:rsid w:val="00D649C9"/>
    <w:rsid w:val="00D7489B"/>
    <w:rsid w:val="00D76259"/>
    <w:rsid w:val="00D91EE9"/>
    <w:rsid w:val="00DA0F02"/>
    <w:rsid w:val="00DC1B8C"/>
    <w:rsid w:val="00DD1018"/>
    <w:rsid w:val="00DD358B"/>
    <w:rsid w:val="00DE1D55"/>
    <w:rsid w:val="00DF45F3"/>
    <w:rsid w:val="00DF7430"/>
    <w:rsid w:val="00E2373F"/>
    <w:rsid w:val="00E26E8A"/>
    <w:rsid w:val="00E31210"/>
    <w:rsid w:val="00E54215"/>
    <w:rsid w:val="00E56FE8"/>
    <w:rsid w:val="00E646A4"/>
    <w:rsid w:val="00E85D23"/>
    <w:rsid w:val="00E91605"/>
    <w:rsid w:val="00EA0BEE"/>
    <w:rsid w:val="00EC611C"/>
    <w:rsid w:val="00EC673A"/>
    <w:rsid w:val="00ED4385"/>
    <w:rsid w:val="00EE16C2"/>
    <w:rsid w:val="00F05257"/>
    <w:rsid w:val="00F0540C"/>
    <w:rsid w:val="00F10FE5"/>
    <w:rsid w:val="00F1308E"/>
    <w:rsid w:val="00F27B95"/>
    <w:rsid w:val="00F36008"/>
    <w:rsid w:val="00F52085"/>
    <w:rsid w:val="00F5248B"/>
    <w:rsid w:val="00F65272"/>
    <w:rsid w:val="00F75681"/>
    <w:rsid w:val="00F97B9F"/>
    <w:rsid w:val="00FA228C"/>
    <w:rsid w:val="00FC4CC0"/>
    <w:rsid w:val="00FC699B"/>
    <w:rsid w:val="00FD61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F1"/>
    <w:pPr>
      <w:suppressAutoHyphens/>
      <w:jc w:val="left"/>
    </w:pPr>
    <w:rPr>
      <w:rFonts w:eastAsia="Times New Roman" w:cs="Times New Roman"/>
      <w:color w:val="00000A"/>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qFormat/>
    <w:rsid w:val="003106F1"/>
    <w:pPr>
      <w:jc w:val="both"/>
    </w:pPr>
    <w:rPr>
      <w:sz w:val="20"/>
      <w:szCs w:val="20"/>
    </w:rPr>
  </w:style>
  <w:style w:type="character" w:customStyle="1" w:styleId="Corpodetexto2Char">
    <w:name w:val="Corpo de texto 2 Char"/>
    <w:basedOn w:val="Fontepargpadro"/>
    <w:link w:val="Corpodetexto2"/>
    <w:rsid w:val="003106F1"/>
    <w:rPr>
      <w:rFonts w:eastAsia="Times New Roman" w:cs="Times New Roman"/>
      <w:color w:val="00000A"/>
      <w:sz w:val="20"/>
      <w:szCs w:val="20"/>
      <w:lang w:eastAsia="zh-CN"/>
    </w:rPr>
  </w:style>
  <w:style w:type="paragraph" w:styleId="NormalWeb">
    <w:name w:val="Normal (Web)"/>
    <w:basedOn w:val="Normal"/>
    <w:qFormat/>
    <w:rsid w:val="003106F1"/>
    <w:pPr>
      <w:spacing w:before="280" w:after="280"/>
    </w:pPr>
  </w:style>
  <w:style w:type="paragraph" w:styleId="PargrafodaLista">
    <w:name w:val="List Paragraph"/>
    <w:basedOn w:val="Normal"/>
    <w:uiPriority w:val="34"/>
    <w:qFormat/>
    <w:rsid w:val="003106F1"/>
    <w:pPr>
      <w:suppressAutoHyphens w:val="0"/>
      <w:spacing w:after="200" w:line="276" w:lineRule="auto"/>
      <w:ind w:left="720"/>
      <w:contextualSpacing/>
    </w:pPr>
    <w:rPr>
      <w:rFonts w:eastAsia="Calibri"/>
      <w:color w:val="auto"/>
      <w:sz w:val="22"/>
      <w:szCs w:val="22"/>
      <w:lang w:eastAsia="pt-BR"/>
    </w:rPr>
  </w:style>
  <w:style w:type="character" w:styleId="Refdenotaderodap">
    <w:name w:val="footnote reference"/>
    <w:basedOn w:val="Fontepargpadro"/>
    <w:uiPriority w:val="99"/>
    <w:semiHidden/>
    <w:rsid w:val="003106F1"/>
    <w:rPr>
      <w:rFonts w:cs="Times New Roman"/>
      <w:vertAlign w:val="superscript"/>
    </w:rPr>
  </w:style>
  <w:style w:type="paragraph" w:styleId="Textodenotaderodap">
    <w:name w:val="footnote text"/>
    <w:basedOn w:val="Normal"/>
    <w:link w:val="TextodenotaderodapChar"/>
    <w:uiPriority w:val="99"/>
    <w:semiHidden/>
    <w:unhideWhenUsed/>
    <w:rsid w:val="007F23E9"/>
    <w:pPr>
      <w:suppressAutoHyphens w:val="0"/>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7F23E9"/>
    <w:rPr>
      <w:rFonts w:asciiTheme="minorHAnsi" w:hAnsiTheme="minorHAnsi"/>
      <w:sz w:val="20"/>
      <w:szCs w:val="20"/>
    </w:rPr>
  </w:style>
  <w:style w:type="character" w:styleId="Hyperlink">
    <w:name w:val="Hyperlink"/>
    <w:basedOn w:val="Fontepargpadro"/>
    <w:uiPriority w:val="99"/>
    <w:semiHidden/>
    <w:unhideWhenUsed/>
    <w:rsid w:val="007F23E9"/>
    <w:rPr>
      <w:color w:val="0000FF"/>
      <w:u w:val="single"/>
    </w:rPr>
  </w:style>
  <w:style w:type="paragraph" w:styleId="Cabealho">
    <w:name w:val="header"/>
    <w:basedOn w:val="Normal"/>
    <w:link w:val="CabealhoChar"/>
    <w:uiPriority w:val="99"/>
    <w:unhideWhenUsed/>
    <w:rsid w:val="006121F5"/>
    <w:pPr>
      <w:tabs>
        <w:tab w:val="center" w:pos="4252"/>
        <w:tab w:val="right" w:pos="8504"/>
      </w:tabs>
    </w:pPr>
  </w:style>
  <w:style w:type="character" w:customStyle="1" w:styleId="CabealhoChar">
    <w:name w:val="Cabeçalho Char"/>
    <w:basedOn w:val="Fontepargpadro"/>
    <w:link w:val="Cabealho"/>
    <w:uiPriority w:val="99"/>
    <w:rsid w:val="006121F5"/>
    <w:rPr>
      <w:rFonts w:eastAsia="Times New Roman" w:cs="Times New Roman"/>
      <w:color w:val="00000A"/>
      <w:szCs w:val="24"/>
      <w:lang w:eastAsia="zh-CN"/>
    </w:rPr>
  </w:style>
  <w:style w:type="paragraph" w:styleId="Rodap">
    <w:name w:val="footer"/>
    <w:basedOn w:val="Normal"/>
    <w:link w:val="RodapChar"/>
    <w:uiPriority w:val="99"/>
    <w:unhideWhenUsed/>
    <w:rsid w:val="006121F5"/>
    <w:pPr>
      <w:tabs>
        <w:tab w:val="center" w:pos="4252"/>
        <w:tab w:val="right" w:pos="8504"/>
      </w:tabs>
    </w:pPr>
  </w:style>
  <w:style w:type="character" w:customStyle="1" w:styleId="RodapChar">
    <w:name w:val="Rodapé Char"/>
    <w:basedOn w:val="Fontepargpadro"/>
    <w:link w:val="Rodap"/>
    <w:uiPriority w:val="99"/>
    <w:rsid w:val="006121F5"/>
    <w:rPr>
      <w:rFonts w:eastAsia="Times New Roman" w:cs="Times New Roman"/>
      <w:color w:val="00000A"/>
      <w:szCs w:val="24"/>
      <w:lang w:eastAsia="zh-CN"/>
    </w:rPr>
  </w:style>
  <w:style w:type="paragraph" w:styleId="Textodebalo">
    <w:name w:val="Balloon Text"/>
    <w:basedOn w:val="Normal"/>
    <w:link w:val="TextodebaloChar"/>
    <w:uiPriority w:val="99"/>
    <w:semiHidden/>
    <w:unhideWhenUsed/>
    <w:rsid w:val="000A4A0C"/>
    <w:rPr>
      <w:rFonts w:ascii="Tahoma" w:hAnsi="Tahoma" w:cs="Tahoma"/>
      <w:sz w:val="16"/>
      <w:szCs w:val="16"/>
    </w:rPr>
  </w:style>
  <w:style w:type="character" w:customStyle="1" w:styleId="TextodebaloChar">
    <w:name w:val="Texto de balão Char"/>
    <w:basedOn w:val="Fontepargpadro"/>
    <w:link w:val="Textodebalo"/>
    <w:uiPriority w:val="99"/>
    <w:semiHidden/>
    <w:rsid w:val="000A4A0C"/>
    <w:rPr>
      <w:rFonts w:ascii="Tahoma" w:eastAsia="Times New Roman" w:hAnsi="Tahoma" w:cs="Tahoma"/>
      <w:color w:val="00000A"/>
      <w:sz w:val="16"/>
      <w:szCs w:val="16"/>
      <w:lang w:eastAsia="zh-CN"/>
    </w:rPr>
  </w:style>
  <w:style w:type="paragraph" w:styleId="Legenda">
    <w:name w:val="caption"/>
    <w:basedOn w:val="Normal"/>
    <w:next w:val="Normal"/>
    <w:uiPriority w:val="35"/>
    <w:semiHidden/>
    <w:unhideWhenUsed/>
    <w:qFormat/>
    <w:rsid w:val="000A4A0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F1"/>
    <w:pPr>
      <w:suppressAutoHyphens/>
      <w:jc w:val="left"/>
    </w:pPr>
    <w:rPr>
      <w:rFonts w:eastAsia="Times New Roman" w:cs="Times New Roman"/>
      <w:color w:val="00000A"/>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qFormat/>
    <w:rsid w:val="003106F1"/>
    <w:pPr>
      <w:jc w:val="both"/>
    </w:pPr>
    <w:rPr>
      <w:sz w:val="20"/>
      <w:szCs w:val="20"/>
    </w:rPr>
  </w:style>
  <w:style w:type="character" w:customStyle="1" w:styleId="Corpodetexto2Char">
    <w:name w:val="Corpo de texto 2 Char"/>
    <w:basedOn w:val="Fontepargpadro"/>
    <w:link w:val="Corpodetexto2"/>
    <w:rsid w:val="003106F1"/>
    <w:rPr>
      <w:rFonts w:eastAsia="Times New Roman" w:cs="Times New Roman"/>
      <w:color w:val="00000A"/>
      <w:sz w:val="20"/>
      <w:szCs w:val="20"/>
      <w:lang w:eastAsia="zh-CN"/>
    </w:rPr>
  </w:style>
  <w:style w:type="paragraph" w:styleId="NormalWeb">
    <w:name w:val="Normal (Web)"/>
    <w:basedOn w:val="Normal"/>
    <w:qFormat/>
    <w:rsid w:val="003106F1"/>
    <w:pPr>
      <w:spacing w:before="280" w:after="280"/>
    </w:pPr>
  </w:style>
  <w:style w:type="paragraph" w:styleId="PargrafodaLista">
    <w:name w:val="List Paragraph"/>
    <w:basedOn w:val="Normal"/>
    <w:uiPriority w:val="34"/>
    <w:qFormat/>
    <w:rsid w:val="003106F1"/>
    <w:pPr>
      <w:suppressAutoHyphens w:val="0"/>
      <w:spacing w:after="200" w:line="276" w:lineRule="auto"/>
      <w:ind w:left="720"/>
      <w:contextualSpacing/>
    </w:pPr>
    <w:rPr>
      <w:rFonts w:eastAsia="Calibri"/>
      <w:color w:val="auto"/>
      <w:sz w:val="22"/>
      <w:szCs w:val="22"/>
      <w:lang w:eastAsia="pt-BR"/>
    </w:rPr>
  </w:style>
  <w:style w:type="character" w:styleId="Refdenotaderodap">
    <w:name w:val="footnote reference"/>
    <w:basedOn w:val="Fontepargpadro"/>
    <w:uiPriority w:val="99"/>
    <w:semiHidden/>
    <w:rsid w:val="003106F1"/>
    <w:rPr>
      <w:rFonts w:cs="Times New Roman"/>
      <w:vertAlign w:val="superscript"/>
    </w:rPr>
  </w:style>
  <w:style w:type="paragraph" w:styleId="Textodenotaderodap">
    <w:name w:val="footnote text"/>
    <w:basedOn w:val="Normal"/>
    <w:link w:val="TextodenotaderodapChar"/>
    <w:uiPriority w:val="99"/>
    <w:semiHidden/>
    <w:unhideWhenUsed/>
    <w:rsid w:val="007F23E9"/>
    <w:pPr>
      <w:suppressAutoHyphens w:val="0"/>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7F23E9"/>
    <w:rPr>
      <w:rFonts w:asciiTheme="minorHAnsi" w:hAnsiTheme="minorHAnsi"/>
      <w:sz w:val="20"/>
      <w:szCs w:val="20"/>
    </w:rPr>
  </w:style>
  <w:style w:type="character" w:styleId="Hyperlink">
    <w:name w:val="Hyperlink"/>
    <w:basedOn w:val="Fontepargpadro"/>
    <w:uiPriority w:val="99"/>
    <w:semiHidden/>
    <w:unhideWhenUsed/>
    <w:rsid w:val="007F23E9"/>
    <w:rPr>
      <w:color w:val="0000FF"/>
      <w:u w:val="single"/>
    </w:rPr>
  </w:style>
  <w:style w:type="paragraph" w:styleId="Cabealho">
    <w:name w:val="header"/>
    <w:basedOn w:val="Normal"/>
    <w:link w:val="CabealhoChar"/>
    <w:uiPriority w:val="99"/>
    <w:unhideWhenUsed/>
    <w:rsid w:val="006121F5"/>
    <w:pPr>
      <w:tabs>
        <w:tab w:val="center" w:pos="4252"/>
        <w:tab w:val="right" w:pos="8504"/>
      </w:tabs>
    </w:pPr>
  </w:style>
  <w:style w:type="character" w:customStyle="1" w:styleId="CabealhoChar">
    <w:name w:val="Cabeçalho Char"/>
    <w:basedOn w:val="Fontepargpadro"/>
    <w:link w:val="Cabealho"/>
    <w:uiPriority w:val="99"/>
    <w:rsid w:val="006121F5"/>
    <w:rPr>
      <w:rFonts w:eastAsia="Times New Roman" w:cs="Times New Roman"/>
      <w:color w:val="00000A"/>
      <w:szCs w:val="24"/>
      <w:lang w:eastAsia="zh-CN"/>
    </w:rPr>
  </w:style>
  <w:style w:type="paragraph" w:styleId="Rodap">
    <w:name w:val="footer"/>
    <w:basedOn w:val="Normal"/>
    <w:link w:val="RodapChar"/>
    <w:uiPriority w:val="99"/>
    <w:unhideWhenUsed/>
    <w:rsid w:val="006121F5"/>
    <w:pPr>
      <w:tabs>
        <w:tab w:val="center" w:pos="4252"/>
        <w:tab w:val="right" w:pos="8504"/>
      </w:tabs>
    </w:pPr>
  </w:style>
  <w:style w:type="character" w:customStyle="1" w:styleId="RodapChar">
    <w:name w:val="Rodapé Char"/>
    <w:basedOn w:val="Fontepargpadro"/>
    <w:link w:val="Rodap"/>
    <w:uiPriority w:val="99"/>
    <w:rsid w:val="006121F5"/>
    <w:rPr>
      <w:rFonts w:eastAsia="Times New Roman" w:cs="Times New Roman"/>
      <w:color w:val="00000A"/>
      <w:szCs w:val="24"/>
      <w:lang w:eastAsia="zh-CN"/>
    </w:rPr>
  </w:style>
  <w:style w:type="paragraph" w:styleId="Textodebalo">
    <w:name w:val="Balloon Text"/>
    <w:basedOn w:val="Normal"/>
    <w:link w:val="TextodebaloChar"/>
    <w:uiPriority w:val="99"/>
    <w:semiHidden/>
    <w:unhideWhenUsed/>
    <w:rsid w:val="000A4A0C"/>
    <w:rPr>
      <w:rFonts w:ascii="Tahoma" w:hAnsi="Tahoma" w:cs="Tahoma"/>
      <w:sz w:val="16"/>
      <w:szCs w:val="16"/>
    </w:rPr>
  </w:style>
  <w:style w:type="character" w:customStyle="1" w:styleId="TextodebaloChar">
    <w:name w:val="Texto de balão Char"/>
    <w:basedOn w:val="Fontepargpadro"/>
    <w:link w:val="Textodebalo"/>
    <w:uiPriority w:val="99"/>
    <w:semiHidden/>
    <w:rsid w:val="000A4A0C"/>
    <w:rPr>
      <w:rFonts w:ascii="Tahoma" w:eastAsia="Times New Roman" w:hAnsi="Tahoma" w:cs="Tahoma"/>
      <w:color w:val="00000A"/>
      <w:sz w:val="16"/>
      <w:szCs w:val="16"/>
      <w:lang w:eastAsia="zh-CN"/>
    </w:rPr>
  </w:style>
  <w:style w:type="paragraph" w:styleId="Legenda">
    <w:name w:val="caption"/>
    <w:basedOn w:val="Normal"/>
    <w:next w:val="Normal"/>
    <w:uiPriority w:val="35"/>
    <w:semiHidden/>
    <w:unhideWhenUsed/>
    <w:qFormat/>
    <w:rsid w:val="000A4A0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5570">
      <w:bodyDiv w:val="1"/>
      <w:marLeft w:val="0"/>
      <w:marRight w:val="0"/>
      <w:marTop w:val="0"/>
      <w:marBottom w:val="0"/>
      <w:divBdr>
        <w:top w:val="none" w:sz="0" w:space="0" w:color="auto"/>
        <w:left w:val="none" w:sz="0" w:space="0" w:color="auto"/>
        <w:bottom w:val="none" w:sz="0" w:space="0" w:color="auto"/>
        <w:right w:val="none" w:sz="0" w:space="0" w:color="auto"/>
      </w:divBdr>
    </w:div>
    <w:div w:id="381947977">
      <w:bodyDiv w:val="1"/>
      <w:marLeft w:val="0"/>
      <w:marRight w:val="0"/>
      <w:marTop w:val="0"/>
      <w:marBottom w:val="0"/>
      <w:divBdr>
        <w:top w:val="none" w:sz="0" w:space="0" w:color="auto"/>
        <w:left w:val="none" w:sz="0" w:space="0" w:color="auto"/>
        <w:bottom w:val="none" w:sz="0" w:space="0" w:color="auto"/>
        <w:right w:val="none" w:sz="0" w:space="0" w:color="auto"/>
      </w:divBdr>
    </w:div>
    <w:div w:id="984815445">
      <w:bodyDiv w:val="1"/>
      <w:marLeft w:val="0"/>
      <w:marRight w:val="0"/>
      <w:marTop w:val="0"/>
      <w:marBottom w:val="0"/>
      <w:divBdr>
        <w:top w:val="none" w:sz="0" w:space="0" w:color="auto"/>
        <w:left w:val="none" w:sz="0" w:space="0" w:color="auto"/>
        <w:bottom w:val="none" w:sz="0" w:space="0" w:color="auto"/>
        <w:right w:val="none" w:sz="0" w:space="0" w:color="auto"/>
      </w:divBdr>
    </w:div>
    <w:div w:id="1399597304">
      <w:bodyDiv w:val="1"/>
      <w:marLeft w:val="0"/>
      <w:marRight w:val="0"/>
      <w:marTop w:val="0"/>
      <w:marBottom w:val="0"/>
      <w:divBdr>
        <w:top w:val="none" w:sz="0" w:space="0" w:color="auto"/>
        <w:left w:val="none" w:sz="0" w:space="0" w:color="auto"/>
        <w:bottom w:val="none" w:sz="0" w:space="0" w:color="auto"/>
        <w:right w:val="none" w:sz="0" w:space="0" w:color="auto"/>
      </w:divBdr>
    </w:div>
    <w:div w:id="20515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ariza_mathis@hotmail.com" TargetMode="External"/><Relationship Id="rId1" Type="http://schemas.openxmlformats.org/officeDocument/2006/relationships/hyperlink" Target="mailto:cleidinsousa@yahoo.com.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dreia%20Sousa\Desktop\CLEIDI\ARTIGOS\Com%20coautores\Gr&#225;ficos_Artigo%20OMT-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dreia%20Sousa\Desktop\CLEIDI\ARTIGOS\Com%20coautores\Gr&#225;ficos_Artigo%20OMT-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Plan1!$B$2:$B$3</c:f>
              <c:strCache>
                <c:ptCount val="1"/>
                <c:pt idx="0">
                  <c:v>Brasil Tx. Informal.</c:v>
                </c:pt>
              </c:strCache>
            </c:strRef>
          </c:tx>
          <c:spPr>
            <a:solidFill>
              <a:schemeClr val="accent1">
                <a:lumMod val="75000"/>
              </a:schemeClr>
            </a:solidFill>
          </c:spPr>
          <c:invertIfNegative val="0"/>
          <c:cat>
            <c:numRef>
              <c:f>Plan1!$A$4:$A$10</c:f>
              <c:numCache>
                <c:formatCode>General</c:formatCode>
                <c:ptCount val="7"/>
                <c:pt idx="0">
                  <c:v>1993</c:v>
                </c:pt>
                <c:pt idx="1">
                  <c:v>1997</c:v>
                </c:pt>
                <c:pt idx="2">
                  <c:v>2001</c:v>
                </c:pt>
                <c:pt idx="3">
                  <c:v>2004</c:v>
                </c:pt>
                <c:pt idx="4">
                  <c:v>2007</c:v>
                </c:pt>
                <c:pt idx="5">
                  <c:v>2011</c:v>
                </c:pt>
                <c:pt idx="6">
                  <c:v>2014</c:v>
                </c:pt>
              </c:numCache>
            </c:numRef>
          </c:cat>
          <c:val>
            <c:numRef>
              <c:f>Plan1!$B$4:$B$10</c:f>
              <c:numCache>
                <c:formatCode>General</c:formatCode>
                <c:ptCount val="7"/>
                <c:pt idx="0">
                  <c:v>59.7</c:v>
                </c:pt>
                <c:pt idx="1">
                  <c:v>59.4</c:v>
                </c:pt>
                <c:pt idx="2">
                  <c:v>58.4</c:v>
                </c:pt>
                <c:pt idx="3">
                  <c:v>56.6</c:v>
                </c:pt>
                <c:pt idx="4">
                  <c:v>53.4</c:v>
                </c:pt>
                <c:pt idx="5">
                  <c:v>47.1</c:v>
                </c:pt>
                <c:pt idx="6">
                  <c:v>46.5</c:v>
                </c:pt>
              </c:numCache>
            </c:numRef>
          </c:val>
        </c:ser>
        <c:ser>
          <c:idx val="1"/>
          <c:order val="1"/>
          <c:tx>
            <c:strRef>
              <c:f>Plan1!$C$2:$C$3</c:f>
              <c:strCache>
                <c:ptCount val="1"/>
                <c:pt idx="0">
                  <c:v>Brasil Tx. Formal.</c:v>
                </c:pt>
              </c:strCache>
            </c:strRef>
          </c:tx>
          <c:spPr>
            <a:solidFill>
              <a:schemeClr val="accent1">
                <a:lumMod val="60000"/>
                <a:lumOff val="40000"/>
              </a:schemeClr>
            </a:solidFill>
            <a:ln>
              <a:solidFill>
                <a:schemeClr val="accent1">
                  <a:lumMod val="60000"/>
                  <a:lumOff val="40000"/>
                </a:schemeClr>
              </a:solidFill>
            </a:ln>
          </c:spPr>
          <c:invertIfNegative val="0"/>
          <c:cat>
            <c:numRef>
              <c:f>Plan1!$A$4:$A$10</c:f>
              <c:numCache>
                <c:formatCode>General</c:formatCode>
                <c:ptCount val="7"/>
                <c:pt idx="0">
                  <c:v>1993</c:v>
                </c:pt>
                <c:pt idx="1">
                  <c:v>1997</c:v>
                </c:pt>
                <c:pt idx="2">
                  <c:v>2001</c:v>
                </c:pt>
                <c:pt idx="3">
                  <c:v>2004</c:v>
                </c:pt>
                <c:pt idx="4">
                  <c:v>2007</c:v>
                </c:pt>
                <c:pt idx="5">
                  <c:v>2011</c:v>
                </c:pt>
                <c:pt idx="6">
                  <c:v>2014</c:v>
                </c:pt>
              </c:numCache>
            </c:numRef>
          </c:cat>
          <c:val>
            <c:numRef>
              <c:f>Plan1!$C$4:$C$10</c:f>
              <c:numCache>
                <c:formatCode>General</c:formatCode>
                <c:ptCount val="7"/>
                <c:pt idx="0">
                  <c:v>40.299999999999997</c:v>
                </c:pt>
                <c:pt idx="1">
                  <c:v>40.6</c:v>
                </c:pt>
                <c:pt idx="2">
                  <c:v>41.6</c:v>
                </c:pt>
                <c:pt idx="3">
                  <c:v>43.4</c:v>
                </c:pt>
                <c:pt idx="4">
                  <c:v>46.6</c:v>
                </c:pt>
                <c:pt idx="5">
                  <c:v>52.9</c:v>
                </c:pt>
                <c:pt idx="6">
                  <c:v>53.5</c:v>
                </c:pt>
              </c:numCache>
            </c:numRef>
          </c:val>
        </c:ser>
        <c:ser>
          <c:idx val="2"/>
          <c:order val="2"/>
          <c:tx>
            <c:strRef>
              <c:f>Plan1!$D$2:$D$3</c:f>
              <c:strCache>
                <c:ptCount val="1"/>
                <c:pt idx="0">
                  <c:v>Pará Tx. Informal.</c:v>
                </c:pt>
              </c:strCache>
            </c:strRef>
          </c:tx>
          <c:spPr>
            <a:solidFill>
              <a:schemeClr val="accent2">
                <a:lumMod val="75000"/>
              </a:schemeClr>
            </a:solidFill>
            <a:ln>
              <a:solidFill>
                <a:schemeClr val="accent2">
                  <a:lumMod val="75000"/>
                </a:schemeClr>
              </a:solidFill>
            </a:ln>
          </c:spPr>
          <c:invertIfNegative val="0"/>
          <c:cat>
            <c:numRef>
              <c:f>Plan1!$A$4:$A$10</c:f>
              <c:numCache>
                <c:formatCode>General</c:formatCode>
                <c:ptCount val="7"/>
                <c:pt idx="0">
                  <c:v>1993</c:v>
                </c:pt>
                <c:pt idx="1">
                  <c:v>1997</c:v>
                </c:pt>
                <c:pt idx="2">
                  <c:v>2001</c:v>
                </c:pt>
                <c:pt idx="3">
                  <c:v>2004</c:v>
                </c:pt>
                <c:pt idx="4">
                  <c:v>2007</c:v>
                </c:pt>
                <c:pt idx="5">
                  <c:v>2011</c:v>
                </c:pt>
                <c:pt idx="6">
                  <c:v>2014</c:v>
                </c:pt>
              </c:numCache>
            </c:numRef>
          </c:cat>
          <c:val>
            <c:numRef>
              <c:f>Plan1!$D$4:$D$10</c:f>
              <c:numCache>
                <c:formatCode>General</c:formatCode>
                <c:ptCount val="7"/>
                <c:pt idx="0">
                  <c:v>72.900000000000006</c:v>
                </c:pt>
                <c:pt idx="1">
                  <c:v>74.900000000000006</c:v>
                </c:pt>
                <c:pt idx="2">
                  <c:v>70.2</c:v>
                </c:pt>
                <c:pt idx="3">
                  <c:v>69.400000000000006</c:v>
                </c:pt>
                <c:pt idx="4">
                  <c:v>68.400000000000006</c:v>
                </c:pt>
                <c:pt idx="5">
                  <c:v>63.3</c:v>
                </c:pt>
                <c:pt idx="6">
                  <c:v>62.3</c:v>
                </c:pt>
              </c:numCache>
            </c:numRef>
          </c:val>
        </c:ser>
        <c:ser>
          <c:idx val="3"/>
          <c:order val="3"/>
          <c:tx>
            <c:strRef>
              <c:f>Plan1!$E$2:$E$3</c:f>
              <c:strCache>
                <c:ptCount val="1"/>
                <c:pt idx="0">
                  <c:v>Pará Tx. Formal.</c:v>
                </c:pt>
              </c:strCache>
            </c:strRef>
          </c:tx>
          <c:spPr>
            <a:solidFill>
              <a:schemeClr val="accent2">
                <a:lumMod val="60000"/>
                <a:lumOff val="40000"/>
              </a:schemeClr>
            </a:solidFill>
            <a:ln>
              <a:solidFill>
                <a:schemeClr val="accent2">
                  <a:lumMod val="60000"/>
                  <a:lumOff val="40000"/>
                </a:schemeClr>
              </a:solidFill>
            </a:ln>
          </c:spPr>
          <c:invertIfNegative val="0"/>
          <c:cat>
            <c:numRef>
              <c:f>Plan1!$A$4:$A$10</c:f>
              <c:numCache>
                <c:formatCode>General</c:formatCode>
                <c:ptCount val="7"/>
                <c:pt idx="0">
                  <c:v>1993</c:v>
                </c:pt>
                <c:pt idx="1">
                  <c:v>1997</c:v>
                </c:pt>
                <c:pt idx="2">
                  <c:v>2001</c:v>
                </c:pt>
                <c:pt idx="3">
                  <c:v>2004</c:v>
                </c:pt>
                <c:pt idx="4">
                  <c:v>2007</c:v>
                </c:pt>
                <c:pt idx="5">
                  <c:v>2011</c:v>
                </c:pt>
                <c:pt idx="6">
                  <c:v>2014</c:v>
                </c:pt>
              </c:numCache>
            </c:numRef>
          </c:cat>
          <c:val>
            <c:numRef>
              <c:f>Plan1!$E$4:$E$10</c:f>
              <c:numCache>
                <c:formatCode>General</c:formatCode>
                <c:ptCount val="7"/>
                <c:pt idx="0">
                  <c:v>27.1</c:v>
                </c:pt>
                <c:pt idx="1">
                  <c:v>25.1</c:v>
                </c:pt>
                <c:pt idx="2">
                  <c:v>29.8</c:v>
                </c:pt>
                <c:pt idx="3">
                  <c:v>30.6</c:v>
                </c:pt>
                <c:pt idx="4">
                  <c:v>31.6</c:v>
                </c:pt>
                <c:pt idx="5">
                  <c:v>36.700000000000003</c:v>
                </c:pt>
                <c:pt idx="6">
                  <c:v>37.700000000000003</c:v>
                </c:pt>
              </c:numCache>
            </c:numRef>
          </c:val>
        </c:ser>
        <c:dLbls>
          <c:showLegendKey val="0"/>
          <c:showVal val="0"/>
          <c:showCatName val="0"/>
          <c:showSerName val="0"/>
          <c:showPercent val="0"/>
          <c:showBubbleSize val="0"/>
        </c:dLbls>
        <c:gapWidth val="150"/>
        <c:axId val="323699456"/>
        <c:axId val="323700992"/>
      </c:barChart>
      <c:catAx>
        <c:axId val="323699456"/>
        <c:scaling>
          <c:orientation val="minMax"/>
        </c:scaling>
        <c:delete val="0"/>
        <c:axPos val="b"/>
        <c:numFmt formatCode="General" sourceLinked="1"/>
        <c:majorTickMark val="none"/>
        <c:minorTickMark val="none"/>
        <c:tickLblPos val="nextTo"/>
        <c:crossAx val="323700992"/>
        <c:crosses val="autoZero"/>
        <c:auto val="1"/>
        <c:lblAlgn val="ctr"/>
        <c:lblOffset val="100"/>
        <c:noMultiLvlLbl val="0"/>
      </c:catAx>
      <c:valAx>
        <c:axId val="323700992"/>
        <c:scaling>
          <c:orientation val="minMax"/>
        </c:scaling>
        <c:delete val="0"/>
        <c:axPos val="l"/>
        <c:majorGridlines/>
        <c:numFmt formatCode="#,##0.0" sourceLinked="0"/>
        <c:majorTickMark val="none"/>
        <c:minorTickMark val="none"/>
        <c:tickLblPos val="nextTo"/>
        <c:crossAx val="323699456"/>
        <c:crosses val="autoZero"/>
        <c:crossBetween val="between"/>
      </c:valAx>
      <c:dTable>
        <c:showHorzBorder val="1"/>
        <c:showVertBorder val="1"/>
        <c:showOutline val="1"/>
        <c:showKeys val="1"/>
      </c:dTable>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Plan1!$B$18:$B$19</c:f>
              <c:strCache>
                <c:ptCount val="1"/>
                <c:pt idx="0">
                  <c:v>Homem Tx. Informal.</c:v>
                </c:pt>
              </c:strCache>
            </c:strRef>
          </c:tx>
          <c:spPr>
            <a:solidFill>
              <a:schemeClr val="accent1">
                <a:lumMod val="75000"/>
              </a:schemeClr>
            </a:solidFill>
          </c:spPr>
          <c:invertIfNegative val="0"/>
          <c:cat>
            <c:numRef>
              <c:f>Plan1!$A$20:$A$23</c:f>
              <c:numCache>
                <c:formatCode>General</c:formatCode>
                <c:ptCount val="4"/>
                <c:pt idx="0">
                  <c:v>2001</c:v>
                </c:pt>
                <c:pt idx="1">
                  <c:v>2006</c:v>
                </c:pt>
                <c:pt idx="2">
                  <c:v>2011</c:v>
                </c:pt>
                <c:pt idx="3">
                  <c:v>2014</c:v>
                </c:pt>
              </c:numCache>
            </c:numRef>
          </c:cat>
          <c:val>
            <c:numRef>
              <c:f>Plan1!$B$20:$B$23</c:f>
              <c:numCache>
                <c:formatCode>General</c:formatCode>
                <c:ptCount val="4"/>
                <c:pt idx="0">
                  <c:v>55.88</c:v>
                </c:pt>
                <c:pt idx="1">
                  <c:v>52.5</c:v>
                </c:pt>
                <c:pt idx="2">
                  <c:v>46.61</c:v>
                </c:pt>
                <c:pt idx="3">
                  <c:v>45.95</c:v>
                </c:pt>
              </c:numCache>
            </c:numRef>
          </c:val>
        </c:ser>
        <c:ser>
          <c:idx val="1"/>
          <c:order val="1"/>
          <c:tx>
            <c:strRef>
              <c:f>Plan1!$C$18:$C$19</c:f>
              <c:strCache>
                <c:ptCount val="1"/>
                <c:pt idx="0">
                  <c:v>Homem Tx. Formal.</c:v>
                </c:pt>
              </c:strCache>
            </c:strRef>
          </c:tx>
          <c:spPr>
            <a:solidFill>
              <a:schemeClr val="accent1">
                <a:lumMod val="60000"/>
                <a:lumOff val="40000"/>
              </a:schemeClr>
            </a:solidFill>
            <a:ln>
              <a:solidFill>
                <a:schemeClr val="accent1">
                  <a:lumMod val="60000"/>
                  <a:lumOff val="40000"/>
                </a:schemeClr>
              </a:solidFill>
            </a:ln>
          </c:spPr>
          <c:invertIfNegative val="0"/>
          <c:cat>
            <c:numRef>
              <c:f>Plan1!$A$20:$A$23</c:f>
              <c:numCache>
                <c:formatCode>General</c:formatCode>
                <c:ptCount val="4"/>
                <c:pt idx="0">
                  <c:v>2001</c:v>
                </c:pt>
                <c:pt idx="1">
                  <c:v>2006</c:v>
                </c:pt>
                <c:pt idx="2">
                  <c:v>2011</c:v>
                </c:pt>
                <c:pt idx="3">
                  <c:v>2014</c:v>
                </c:pt>
              </c:numCache>
            </c:numRef>
          </c:cat>
          <c:val>
            <c:numRef>
              <c:f>Plan1!$C$20:$C$23</c:f>
              <c:numCache>
                <c:formatCode>General</c:formatCode>
                <c:ptCount val="4"/>
                <c:pt idx="0">
                  <c:v>44.12</c:v>
                </c:pt>
                <c:pt idx="1">
                  <c:v>47.5</c:v>
                </c:pt>
                <c:pt idx="2">
                  <c:v>53.39</c:v>
                </c:pt>
                <c:pt idx="3">
                  <c:v>54.05</c:v>
                </c:pt>
              </c:numCache>
            </c:numRef>
          </c:val>
        </c:ser>
        <c:ser>
          <c:idx val="2"/>
          <c:order val="2"/>
          <c:tx>
            <c:strRef>
              <c:f>Plan1!$D$18:$D$19</c:f>
              <c:strCache>
                <c:ptCount val="1"/>
                <c:pt idx="0">
                  <c:v>Mulher Tx. Informal.</c:v>
                </c:pt>
              </c:strCache>
            </c:strRef>
          </c:tx>
          <c:spPr>
            <a:solidFill>
              <a:schemeClr val="accent2">
                <a:lumMod val="75000"/>
              </a:schemeClr>
            </a:solidFill>
            <a:ln>
              <a:solidFill>
                <a:schemeClr val="accent2">
                  <a:lumMod val="75000"/>
                </a:schemeClr>
              </a:solidFill>
            </a:ln>
          </c:spPr>
          <c:invertIfNegative val="0"/>
          <c:cat>
            <c:numRef>
              <c:f>Plan1!$A$20:$A$23</c:f>
              <c:numCache>
                <c:formatCode>General</c:formatCode>
                <c:ptCount val="4"/>
                <c:pt idx="0">
                  <c:v>2001</c:v>
                </c:pt>
                <c:pt idx="1">
                  <c:v>2006</c:v>
                </c:pt>
                <c:pt idx="2">
                  <c:v>2011</c:v>
                </c:pt>
                <c:pt idx="3">
                  <c:v>2014</c:v>
                </c:pt>
              </c:numCache>
            </c:numRef>
          </c:cat>
          <c:val>
            <c:numRef>
              <c:f>Plan1!$D$20:$D$23</c:f>
              <c:numCache>
                <c:formatCode>General</c:formatCode>
                <c:ptCount val="4"/>
                <c:pt idx="0">
                  <c:v>56.53</c:v>
                </c:pt>
                <c:pt idx="1">
                  <c:v>53.98</c:v>
                </c:pt>
                <c:pt idx="2">
                  <c:v>45.8</c:v>
                </c:pt>
                <c:pt idx="3">
                  <c:v>44.52</c:v>
                </c:pt>
              </c:numCache>
            </c:numRef>
          </c:val>
        </c:ser>
        <c:ser>
          <c:idx val="3"/>
          <c:order val="3"/>
          <c:tx>
            <c:strRef>
              <c:f>Plan1!$E$18:$E$19</c:f>
              <c:strCache>
                <c:ptCount val="1"/>
                <c:pt idx="0">
                  <c:v>Mulher Tx. Formal.</c:v>
                </c:pt>
              </c:strCache>
            </c:strRef>
          </c:tx>
          <c:spPr>
            <a:solidFill>
              <a:schemeClr val="accent2">
                <a:lumMod val="60000"/>
                <a:lumOff val="40000"/>
              </a:schemeClr>
            </a:solidFill>
            <a:ln>
              <a:solidFill>
                <a:schemeClr val="accent2">
                  <a:lumMod val="60000"/>
                  <a:lumOff val="40000"/>
                </a:schemeClr>
              </a:solidFill>
            </a:ln>
          </c:spPr>
          <c:invertIfNegative val="0"/>
          <c:cat>
            <c:numRef>
              <c:f>Plan1!$A$20:$A$23</c:f>
              <c:numCache>
                <c:formatCode>General</c:formatCode>
                <c:ptCount val="4"/>
                <c:pt idx="0">
                  <c:v>2001</c:v>
                </c:pt>
                <c:pt idx="1">
                  <c:v>2006</c:v>
                </c:pt>
                <c:pt idx="2">
                  <c:v>2011</c:v>
                </c:pt>
                <c:pt idx="3">
                  <c:v>2014</c:v>
                </c:pt>
              </c:numCache>
            </c:numRef>
          </c:cat>
          <c:val>
            <c:numRef>
              <c:f>Plan1!$E$20:$E$23</c:f>
              <c:numCache>
                <c:formatCode>General</c:formatCode>
                <c:ptCount val="4"/>
                <c:pt idx="0">
                  <c:v>43.47</c:v>
                </c:pt>
                <c:pt idx="1">
                  <c:v>46.02</c:v>
                </c:pt>
                <c:pt idx="2">
                  <c:v>54.2</c:v>
                </c:pt>
                <c:pt idx="3">
                  <c:v>55.48</c:v>
                </c:pt>
              </c:numCache>
            </c:numRef>
          </c:val>
        </c:ser>
        <c:dLbls>
          <c:showLegendKey val="0"/>
          <c:showVal val="0"/>
          <c:showCatName val="0"/>
          <c:showSerName val="0"/>
          <c:showPercent val="0"/>
          <c:showBubbleSize val="0"/>
        </c:dLbls>
        <c:gapWidth val="150"/>
        <c:axId val="325327872"/>
        <c:axId val="325420544"/>
      </c:barChart>
      <c:catAx>
        <c:axId val="325327872"/>
        <c:scaling>
          <c:orientation val="minMax"/>
        </c:scaling>
        <c:delete val="0"/>
        <c:axPos val="b"/>
        <c:numFmt formatCode="General" sourceLinked="1"/>
        <c:majorTickMark val="none"/>
        <c:minorTickMark val="none"/>
        <c:tickLblPos val="nextTo"/>
        <c:crossAx val="325420544"/>
        <c:crosses val="autoZero"/>
        <c:auto val="1"/>
        <c:lblAlgn val="ctr"/>
        <c:lblOffset val="100"/>
        <c:noMultiLvlLbl val="0"/>
      </c:catAx>
      <c:valAx>
        <c:axId val="325420544"/>
        <c:scaling>
          <c:orientation val="minMax"/>
        </c:scaling>
        <c:delete val="0"/>
        <c:axPos val="l"/>
        <c:majorGridlines/>
        <c:numFmt formatCode="#,##0.0" sourceLinked="0"/>
        <c:majorTickMark val="none"/>
        <c:minorTickMark val="none"/>
        <c:tickLblPos val="nextTo"/>
        <c:crossAx val="325327872"/>
        <c:crosses val="autoZero"/>
        <c:crossBetween val="between"/>
      </c:valAx>
      <c:dTable>
        <c:showHorzBorder val="1"/>
        <c:showVertBorder val="1"/>
        <c:showOutline val="1"/>
        <c:showKeys val="1"/>
      </c:dTable>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Plan1!$B$36:$B$37</c:f>
              <c:strCache>
                <c:ptCount val="1"/>
                <c:pt idx="0">
                  <c:v>Homem Tx. Informal.</c:v>
                </c:pt>
              </c:strCache>
            </c:strRef>
          </c:tx>
          <c:spPr>
            <a:solidFill>
              <a:schemeClr val="accent1">
                <a:lumMod val="75000"/>
              </a:schemeClr>
            </a:solidFill>
          </c:spPr>
          <c:invertIfNegative val="0"/>
          <c:cat>
            <c:numRef>
              <c:f>Plan1!$A$38:$A$41</c:f>
              <c:numCache>
                <c:formatCode>General</c:formatCode>
                <c:ptCount val="4"/>
                <c:pt idx="0">
                  <c:v>2001</c:v>
                </c:pt>
                <c:pt idx="1">
                  <c:v>2006</c:v>
                </c:pt>
                <c:pt idx="2">
                  <c:v>2011</c:v>
                </c:pt>
                <c:pt idx="3">
                  <c:v>2014</c:v>
                </c:pt>
              </c:numCache>
            </c:numRef>
          </c:cat>
          <c:val>
            <c:numRef>
              <c:f>Plan1!$B$38:$B$41</c:f>
              <c:numCache>
                <c:formatCode>General</c:formatCode>
                <c:ptCount val="4"/>
                <c:pt idx="0">
                  <c:v>64.41</c:v>
                </c:pt>
                <c:pt idx="1">
                  <c:v>68.709999999999994</c:v>
                </c:pt>
                <c:pt idx="2">
                  <c:v>67.709999999999994</c:v>
                </c:pt>
                <c:pt idx="3">
                  <c:v>65.650000000000006</c:v>
                </c:pt>
              </c:numCache>
            </c:numRef>
          </c:val>
        </c:ser>
        <c:ser>
          <c:idx val="1"/>
          <c:order val="1"/>
          <c:tx>
            <c:strRef>
              <c:f>Plan1!$C$36:$C$37</c:f>
              <c:strCache>
                <c:ptCount val="1"/>
                <c:pt idx="0">
                  <c:v>Homem Tx. Formal.</c:v>
                </c:pt>
              </c:strCache>
            </c:strRef>
          </c:tx>
          <c:spPr>
            <a:solidFill>
              <a:schemeClr val="accent1">
                <a:lumMod val="60000"/>
                <a:lumOff val="40000"/>
              </a:schemeClr>
            </a:solidFill>
            <a:ln>
              <a:solidFill>
                <a:schemeClr val="accent1">
                  <a:lumMod val="60000"/>
                  <a:lumOff val="40000"/>
                </a:schemeClr>
              </a:solidFill>
            </a:ln>
          </c:spPr>
          <c:invertIfNegative val="0"/>
          <c:cat>
            <c:numRef>
              <c:f>Plan1!$A$38:$A$41</c:f>
              <c:numCache>
                <c:formatCode>General</c:formatCode>
                <c:ptCount val="4"/>
                <c:pt idx="0">
                  <c:v>2001</c:v>
                </c:pt>
                <c:pt idx="1">
                  <c:v>2006</c:v>
                </c:pt>
                <c:pt idx="2">
                  <c:v>2011</c:v>
                </c:pt>
                <c:pt idx="3">
                  <c:v>2014</c:v>
                </c:pt>
              </c:numCache>
            </c:numRef>
          </c:cat>
          <c:val>
            <c:numRef>
              <c:f>Plan1!$C$38:$C$41</c:f>
              <c:numCache>
                <c:formatCode>General</c:formatCode>
                <c:ptCount val="4"/>
                <c:pt idx="0">
                  <c:v>35.590000000000003</c:v>
                </c:pt>
                <c:pt idx="1">
                  <c:v>31.29</c:v>
                </c:pt>
                <c:pt idx="2">
                  <c:v>32.29</c:v>
                </c:pt>
                <c:pt idx="3">
                  <c:v>34.35</c:v>
                </c:pt>
              </c:numCache>
            </c:numRef>
          </c:val>
        </c:ser>
        <c:ser>
          <c:idx val="2"/>
          <c:order val="2"/>
          <c:tx>
            <c:strRef>
              <c:f>Plan1!$D$36:$D$37</c:f>
              <c:strCache>
                <c:ptCount val="1"/>
                <c:pt idx="0">
                  <c:v>Mulher Tx. Informal.</c:v>
                </c:pt>
              </c:strCache>
            </c:strRef>
          </c:tx>
          <c:spPr>
            <a:solidFill>
              <a:schemeClr val="accent2">
                <a:lumMod val="75000"/>
              </a:schemeClr>
            </a:solidFill>
            <a:ln>
              <a:solidFill>
                <a:schemeClr val="accent2">
                  <a:lumMod val="75000"/>
                </a:schemeClr>
              </a:solidFill>
            </a:ln>
          </c:spPr>
          <c:invertIfNegative val="0"/>
          <c:cat>
            <c:numRef>
              <c:f>Plan1!$A$38:$A$41</c:f>
              <c:numCache>
                <c:formatCode>General</c:formatCode>
                <c:ptCount val="4"/>
                <c:pt idx="0">
                  <c:v>2001</c:v>
                </c:pt>
                <c:pt idx="1">
                  <c:v>2006</c:v>
                </c:pt>
                <c:pt idx="2">
                  <c:v>2011</c:v>
                </c:pt>
                <c:pt idx="3">
                  <c:v>2014</c:v>
                </c:pt>
              </c:numCache>
            </c:numRef>
          </c:cat>
          <c:val>
            <c:numRef>
              <c:f>Plan1!$D$38:$D$41</c:f>
              <c:numCache>
                <c:formatCode>General</c:formatCode>
                <c:ptCount val="4"/>
                <c:pt idx="0">
                  <c:v>69.790000000000006</c:v>
                </c:pt>
                <c:pt idx="1">
                  <c:v>75.790000000000006</c:v>
                </c:pt>
                <c:pt idx="2">
                  <c:v>68.31</c:v>
                </c:pt>
                <c:pt idx="3">
                  <c:v>64.540000000000006</c:v>
                </c:pt>
              </c:numCache>
            </c:numRef>
          </c:val>
        </c:ser>
        <c:ser>
          <c:idx val="3"/>
          <c:order val="3"/>
          <c:tx>
            <c:strRef>
              <c:f>Plan1!$E$36:$E$37</c:f>
              <c:strCache>
                <c:ptCount val="1"/>
                <c:pt idx="0">
                  <c:v>Mulher Tx. Formal.</c:v>
                </c:pt>
              </c:strCache>
            </c:strRef>
          </c:tx>
          <c:spPr>
            <a:solidFill>
              <a:schemeClr val="accent2">
                <a:lumMod val="60000"/>
                <a:lumOff val="40000"/>
              </a:schemeClr>
            </a:solidFill>
            <a:ln>
              <a:solidFill>
                <a:schemeClr val="accent2">
                  <a:lumMod val="60000"/>
                  <a:lumOff val="40000"/>
                </a:schemeClr>
              </a:solidFill>
            </a:ln>
          </c:spPr>
          <c:invertIfNegative val="0"/>
          <c:cat>
            <c:numRef>
              <c:f>Plan1!$A$38:$A$41</c:f>
              <c:numCache>
                <c:formatCode>General</c:formatCode>
                <c:ptCount val="4"/>
                <c:pt idx="0">
                  <c:v>2001</c:v>
                </c:pt>
                <c:pt idx="1">
                  <c:v>2006</c:v>
                </c:pt>
                <c:pt idx="2">
                  <c:v>2011</c:v>
                </c:pt>
                <c:pt idx="3">
                  <c:v>2014</c:v>
                </c:pt>
              </c:numCache>
            </c:numRef>
          </c:cat>
          <c:val>
            <c:numRef>
              <c:f>Plan1!$E$38:$E$41</c:f>
              <c:numCache>
                <c:formatCode>General</c:formatCode>
                <c:ptCount val="4"/>
                <c:pt idx="0">
                  <c:v>30.21</c:v>
                </c:pt>
                <c:pt idx="1">
                  <c:v>24.21</c:v>
                </c:pt>
                <c:pt idx="2">
                  <c:v>31.69</c:v>
                </c:pt>
                <c:pt idx="3">
                  <c:v>35.46</c:v>
                </c:pt>
              </c:numCache>
            </c:numRef>
          </c:val>
        </c:ser>
        <c:dLbls>
          <c:showLegendKey val="0"/>
          <c:showVal val="0"/>
          <c:showCatName val="0"/>
          <c:showSerName val="0"/>
          <c:showPercent val="0"/>
          <c:showBubbleSize val="0"/>
        </c:dLbls>
        <c:gapWidth val="150"/>
        <c:axId val="254734336"/>
        <c:axId val="254735872"/>
      </c:barChart>
      <c:catAx>
        <c:axId val="254734336"/>
        <c:scaling>
          <c:orientation val="minMax"/>
        </c:scaling>
        <c:delete val="0"/>
        <c:axPos val="b"/>
        <c:numFmt formatCode="General" sourceLinked="1"/>
        <c:majorTickMark val="none"/>
        <c:minorTickMark val="none"/>
        <c:tickLblPos val="nextTo"/>
        <c:crossAx val="254735872"/>
        <c:crosses val="autoZero"/>
        <c:auto val="1"/>
        <c:lblAlgn val="ctr"/>
        <c:lblOffset val="100"/>
        <c:noMultiLvlLbl val="0"/>
      </c:catAx>
      <c:valAx>
        <c:axId val="254735872"/>
        <c:scaling>
          <c:orientation val="minMax"/>
        </c:scaling>
        <c:delete val="0"/>
        <c:axPos val="l"/>
        <c:majorGridlines/>
        <c:numFmt formatCode="#,##0.0" sourceLinked="0"/>
        <c:majorTickMark val="none"/>
        <c:minorTickMark val="none"/>
        <c:tickLblPos val="nextTo"/>
        <c:crossAx val="254734336"/>
        <c:crosses val="autoZero"/>
        <c:crossBetween val="between"/>
      </c:valAx>
      <c:dTable>
        <c:showHorzBorder val="1"/>
        <c:showVertBorder val="1"/>
        <c:showOutline val="1"/>
        <c:showKeys val="1"/>
      </c:dTable>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Plan1!$B$53:$B$54</c:f>
              <c:strCache>
                <c:ptCount val="1"/>
                <c:pt idx="0">
                  <c:v>Brasil Assal. Formais</c:v>
                </c:pt>
              </c:strCache>
            </c:strRef>
          </c:tx>
          <c:spPr>
            <a:solidFill>
              <a:schemeClr val="accent1">
                <a:lumMod val="75000"/>
              </a:schemeClr>
            </a:solidFill>
          </c:spPr>
          <c:invertIfNegative val="0"/>
          <c:cat>
            <c:numRef>
              <c:f>Plan1!$A$55:$A$58</c:f>
              <c:numCache>
                <c:formatCode>General</c:formatCode>
                <c:ptCount val="4"/>
                <c:pt idx="0">
                  <c:v>2001</c:v>
                </c:pt>
                <c:pt idx="1">
                  <c:v>2006</c:v>
                </c:pt>
                <c:pt idx="2">
                  <c:v>2011</c:v>
                </c:pt>
                <c:pt idx="3">
                  <c:v>2014</c:v>
                </c:pt>
              </c:numCache>
            </c:numRef>
          </c:cat>
          <c:val>
            <c:numRef>
              <c:f>Plan1!$B$55:$B$58</c:f>
              <c:numCache>
                <c:formatCode>General</c:formatCode>
                <c:ptCount val="4"/>
                <c:pt idx="0">
                  <c:v>37.9</c:v>
                </c:pt>
                <c:pt idx="1">
                  <c:v>40.200000000000003</c:v>
                </c:pt>
                <c:pt idx="2">
                  <c:v>48.1</c:v>
                </c:pt>
                <c:pt idx="3">
                  <c:v>48.4</c:v>
                </c:pt>
              </c:numCache>
            </c:numRef>
          </c:val>
        </c:ser>
        <c:ser>
          <c:idx val="1"/>
          <c:order val="1"/>
          <c:tx>
            <c:strRef>
              <c:f>Plan1!$C$53:$C$54</c:f>
              <c:strCache>
                <c:ptCount val="1"/>
                <c:pt idx="0">
                  <c:v>Brasil Assal. Informais</c:v>
                </c:pt>
              </c:strCache>
            </c:strRef>
          </c:tx>
          <c:spPr>
            <a:solidFill>
              <a:schemeClr val="accent1">
                <a:lumMod val="60000"/>
                <a:lumOff val="40000"/>
              </a:schemeClr>
            </a:solidFill>
            <a:ln>
              <a:solidFill>
                <a:schemeClr val="accent1">
                  <a:lumMod val="60000"/>
                  <a:lumOff val="40000"/>
                </a:schemeClr>
              </a:solidFill>
            </a:ln>
          </c:spPr>
          <c:invertIfNegative val="0"/>
          <c:cat>
            <c:numRef>
              <c:f>Plan1!$A$55:$A$58</c:f>
              <c:numCache>
                <c:formatCode>General</c:formatCode>
                <c:ptCount val="4"/>
                <c:pt idx="0">
                  <c:v>2001</c:v>
                </c:pt>
                <c:pt idx="1">
                  <c:v>2006</c:v>
                </c:pt>
                <c:pt idx="2">
                  <c:v>2011</c:v>
                </c:pt>
                <c:pt idx="3">
                  <c:v>2014</c:v>
                </c:pt>
              </c:numCache>
            </c:numRef>
          </c:cat>
          <c:val>
            <c:numRef>
              <c:f>Plan1!$C$55:$C$58</c:f>
              <c:numCache>
                <c:formatCode>General</c:formatCode>
                <c:ptCount val="4"/>
                <c:pt idx="0">
                  <c:v>24.2</c:v>
                </c:pt>
                <c:pt idx="1">
                  <c:v>23.2</c:v>
                </c:pt>
                <c:pt idx="2">
                  <c:v>19.899999999999999</c:v>
                </c:pt>
                <c:pt idx="3">
                  <c:v>19.100000000000001</c:v>
                </c:pt>
              </c:numCache>
            </c:numRef>
          </c:val>
        </c:ser>
        <c:ser>
          <c:idx val="2"/>
          <c:order val="2"/>
          <c:tx>
            <c:strRef>
              <c:f>Plan1!$D$53:$D$54</c:f>
              <c:strCache>
                <c:ptCount val="1"/>
                <c:pt idx="0">
                  <c:v>Pará Assal. Formais</c:v>
                </c:pt>
              </c:strCache>
            </c:strRef>
          </c:tx>
          <c:spPr>
            <a:solidFill>
              <a:schemeClr val="accent2">
                <a:lumMod val="75000"/>
              </a:schemeClr>
            </a:solidFill>
            <a:ln>
              <a:solidFill>
                <a:schemeClr val="accent2">
                  <a:lumMod val="75000"/>
                </a:schemeClr>
              </a:solidFill>
            </a:ln>
          </c:spPr>
          <c:invertIfNegative val="0"/>
          <c:cat>
            <c:numRef>
              <c:f>Plan1!$A$55:$A$58</c:f>
              <c:numCache>
                <c:formatCode>General</c:formatCode>
                <c:ptCount val="4"/>
                <c:pt idx="0">
                  <c:v>2001</c:v>
                </c:pt>
                <c:pt idx="1">
                  <c:v>2006</c:v>
                </c:pt>
                <c:pt idx="2">
                  <c:v>2011</c:v>
                </c:pt>
                <c:pt idx="3">
                  <c:v>2014</c:v>
                </c:pt>
              </c:numCache>
            </c:numRef>
          </c:cat>
          <c:val>
            <c:numRef>
              <c:f>Plan1!$D$55:$D$58</c:f>
              <c:numCache>
                <c:formatCode>General</c:formatCode>
                <c:ptCount val="4"/>
                <c:pt idx="0">
                  <c:v>28.5</c:v>
                </c:pt>
                <c:pt idx="1">
                  <c:v>23.8</c:v>
                </c:pt>
                <c:pt idx="2">
                  <c:v>28.2</c:v>
                </c:pt>
                <c:pt idx="3">
                  <c:v>29.9</c:v>
                </c:pt>
              </c:numCache>
            </c:numRef>
          </c:val>
        </c:ser>
        <c:ser>
          <c:idx val="3"/>
          <c:order val="3"/>
          <c:tx>
            <c:strRef>
              <c:f>Plan1!$E$53:$E$54</c:f>
              <c:strCache>
                <c:ptCount val="1"/>
                <c:pt idx="0">
                  <c:v>Pará Assal. Informais</c:v>
                </c:pt>
              </c:strCache>
            </c:strRef>
          </c:tx>
          <c:spPr>
            <a:solidFill>
              <a:schemeClr val="accent2">
                <a:lumMod val="60000"/>
                <a:lumOff val="40000"/>
              </a:schemeClr>
            </a:solidFill>
            <a:ln>
              <a:solidFill>
                <a:schemeClr val="accent2">
                  <a:lumMod val="60000"/>
                  <a:lumOff val="40000"/>
                </a:schemeClr>
              </a:solidFill>
            </a:ln>
          </c:spPr>
          <c:invertIfNegative val="0"/>
          <c:cat>
            <c:numRef>
              <c:f>Plan1!$A$55:$A$58</c:f>
              <c:numCache>
                <c:formatCode>General</c:formatCode>
                <c:ptCount val="4"/>
                <c:pt idx="0">
                  <c:v>2001</c:v>
                </c:pt>
                <c:pt idx="1">
                  <c:v>2006</c:v>
                </c:pt>
                <c:pt idx="2">
                  <c:v>2011</c:v>
                </c:pt>
                <c:pt idx="3">
                  <c:v>2014</c:v>
                </c:pt>
              </c:numCache>
            </c:numRef>
          </c:cat>
          <c:val>
            <c:numRef>
              <c:f>Plan1!$E$55:$E$58</c:f>
              <c:numCache>
                <c:formatCode>General</c:formatCode>
                <c:ptCount val="4"/>
                <c:pt idx="0">
                  <c:v>33.200000000000003</c:v>
                </c:pt>
                <c:pt idx="1">
                  <c:v>28.1</c:v>
                </c:pt>
                <c:pt idx="2">
                  <c:v>25.6</c:v>
                </c:pt>
                <c:pt idx="3">
                  <c:v>24.5</c:v>
                </c:pt>
              </c:numCache>
            </c:numRef>
          </c:val>
        </c:ser>
        <c:dLbls>
          <c:showLegendKey val="0"/>
          <c:showVal val="0"/>
          <c:showCatName val="0"/>
          <c:showSerName val="0"/>
          <c:showPercent val="0"/>
          <c:showBubbleSize val="0"/>
        </c:dLbls>
        <c:gapWidth val="150"/>
        <c:axId val="274576128"/>
        <c:axId val="274577664"/>
      </c:barChart>
      <c:catAx>
        <c:axId val="274576128"/>
        <c:scaling>
          <c:orientation val="minMax"/>
        </c:scaling>
        <c:delete val="0"/>
        <c:axPos val="b"/>
        <c:numFmt formatCode="General" sourceLinked="1"/>
        <c:majorTickMark val="none"/>
        <c:minorTickMark val="none"/>
        <c:tickLblPos val="nextTo"/>
        <c:crossAx val="274577664"/>
        <c:crosses val="autoZero"/>
        <c:auto val="1"/>
        <c:lblAlgn val="ctr"/>
        <c:lblOffset val="100"/>
        <c:noMultiLvlLbl val="0"/>
      </c:catAx>
      <c:valAx>
        <c:axId val="274577664"/>
        <c:scaling>
          <c:orientation val="minMax"/>
          <c:max val="50"/>
          <c:min val="0"/>
        </c:scaling>
        <c:delete val="0"/>
        <c:axPos val="l"/>
        <c:majorGridlines/>
        <c:numFmt formatCode="#,##0.0" sourceLinked="0"/>
        <c:majorTickMark val="none"/>
        <c:minorTickMark val="none"/>
        <c:tickLblPos val="nextTo"/>
        <c:crossAx val="274576128"/>
        <c:crosses val="autoZero"/>
        <c:crossBetween val="between"/>
        <c:majorUnit val="10"/>
        <c:minorUnit val="2"/>
      </c:valAx>
      <c:dTable>
        <c:showHorzBorder val="1"/>
        <c:showVertBorder val="1"/>
        <c:showOutline val="1"/>
        <c:showKeys val="1"/>
      </c:dTable>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C511-7008-4649-A835-C46C5870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5968</Words>
  <Characters>32228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2016-06-29T17:54:00Z</dcterms:created>
  <dcterms:modified xsi:type="dcterms:W3CDTF">2016-06-29T18:02:00Z</dcterms:modified>
</cp:coreProperties>
</file>